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AD446B">
        <w:tc>
          <w:tcPr>
            <w:tcW w:w="509" w:type="dxa"/>
          </w:tcPr>
          <w:p w:rsidR="00AD446B" w:rsidRDefault="00172B4B">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AD446B" w:rsidRDefault="00172B4B">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hint="eastAsia"/>
                <w:sz w:val="21"/>
                <w:szCs w:val="21"/>
              </w:rPr>
              <w:t>65.120</w:t>
            </w:r>
          </w:p>
        </w:tc>
      </w:tr>
      <w:tr w:rsidR="00AD446B">
        <w:tc>
          <w:tcPr>
            <w:tcW w:w="509" w:type="dxa"/>
          </w:tcPr>
          <w:p w:rsidR="00AD446B" w:rsidRDefault="00172B4B">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AD446B">
              <w:trPr>
                <w:trHeight w:hRule="exact" w:val="1021"/>
              </w:trPr>
              <w:tc>
                <w:tcPr>
                  <w:tcW w:w="9242" w:type="dxa"/>
                  <w:vAlign w:val="center"/>
                </w:tcPr>
                <w:p w:rsidR="00AD446B" w:rsidRDefault="00172B4B" w:rsidP="000F1817">
                  <w:pPr>
                    <w:pStyle w:val="afffff"/>
                    <w:framePr w:w="0" w:hRule="auto" w:wrap="auto" w:hAnchor="text" w:xAlign="left" w:yAlign="inline" w:anchorLock="0"/>
                    <w:ind w:left="420" w:right="624"/>
                    <w:rPr>
                      <w:rFonts w:ascii="宋体" w:hAnsi="宋体"/>
                      <w:sz w:val="28"/>
                      <w:szCs w:val="28"/>
                    </w:rPr>
                  </w:pPr>
                  <w:r>
                    <w:rPr>
                      <w:sz w:val="21"/>
                      <w:szCs w:val="21"/>
                    </w:rPr>
                    <w:t xml:space="preserve"> </w:t>
                  </w:r>
                </w:p>
              </w:tc>
            </w:tr>
          </w:tbl>
          <w:p w:rsidR="00AD446B" w:rsidRDefault="00172B4B">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hint="eastAsia"/>
                <w:sz w:val="21"/>
                <w:szCs w:val="21"/>
              </w:rPr>
              <w:t>B 25</w:t>
            </w:r>
          </w:p>
        </w:tc>
      </w:tr>
    </w:tbl>
    <w:p w:rsidR="00AD446B" w:rsidRDefault="00172B4B">
      <w:pPr>
        <w:pStyle w:val="afffff0"/>
        <w:framePr w:w="9639" w:h="938" w:hRule="exact" w:hSpace="181" w:vSpace="181" w:wrap="around" w:hAnchor="page" w:x="1305" w:y="2269"/>
        <w:rPr>
          <w:rFonts w:ascii="黑体" w:eastAsia="黑体" w:hAnsi="黑体"/>
          <w:b w:val="0"/>
          <w:bCs w:val="0"/>
          <w:w w:val="100"/>
          <w:sz w:val="72"/>
          <w:szCs w:val="72"/>
        </w:rPr>
      </w:pPr>
      <w:bookmarkStart w:id="0"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0"/>
    <w:p w:rsidR="00AD446B" w:rsidRDefault="00172B4B">
      <w:pPr>
        <w:pStyle w:val="affffffffff2"/>
        <w:framePr w:wrap="auto" w:y="3398"/>
      </w:pPr>
      <w:r>
        <w:t>T/</w:t>
      </w:r>
      <w:r>
        <w:fldChar w:fldCharType="begin">
          <w:ffData>
            <w:name w:val="文字1"/>
            <w:enabled/>
            <w:calcOnExit w:val="0"/>
            <w:textInput>
              <w:default w:val="XXX"/>
            </w:textInput>
          </w:ffData>
        </w:fldChar>
      </w:r>
      <w:bookmarkStart w:id="1" w:name="文字1"/>
      <w:r>
        <w:instrText xml:space="preserve"> FORMTEXT </w:instrText>
      </w:r>
      <w:r>
        <w:fldChar w:fldCharType="separate"/>
      </w:r>
      <w:r>
        <w:rPr>
          <w:rFonts w:hint="eastAsia"/>
        </w:rPr>
        <w:t>QHNX</w:t>
      </w:r>
      <w:r>
        <w:fldChar w:fldCharType="end"/>
      </w:r>
      <w:bookmarkEnd w:id="1"/>
      <w:r>
        <w:t xml:space="preserve"> </w:t>
      </w:r>
      <w:r>
        <w:fldChar w:fldCharType="begin">
          <w:ffData>
            <w:name w:val="NSTD_CODE_F"/>
            <w:enabled/>
            <w:calcOnExit w:val="0"/>
            <w:textInput>
              <w:default w:val="XXXX"/>
            </w:textInput>
          </w:ffData>
        </w:fldChar>
      </w:r>
      <w:bookmarkStart w:id="2" w:name="NSTD_CODE_F"/>
      <w:r>
        <w:instrText xml:space="preserve"> FORMTEXT </w:instrText>
      </w:r>
      <w:r>
        <w:fldChar w:fldCharType="separate"/>
      </w:r>
      <w:r>
        <w:t>XXXX</w:t>
      </w:r>
      <w:r>
        <w:fldChar w:fldCharType="end"/>
      </w:r>
      <w:bookmarkEnd w:id="2"/>
      <w:r>
        <w:rPr>
          <w:rFonts w:hAnsi="黑体"/>
        </w:rPr>
        <w:t>—</w:t>
      </w:r>
      <w:r>
        <w:fldChar w:fldCharType="begin">
          <w:ffData>
            <w:name w:val="NSTD_CODE_B"/>
            <w:enabled/>
            <w:calcOnExit w:val="0"/>
            <w:textInput>
              <w:default w:val="XXXX"/>
            </w:textInput>
          </w:ffData>
        </w:fldChar>
      </w:r>
      <w:bookmarkStart w:id="3" w:name="NSTD_CODE_B"/>
      <w:r>
        <w:instrText xml:space="preserve"> FORMTEXT </w:instrText>
      </w:r>
      <w:r>
        <w:fldChar w:fldCharType="separate"/>
      </w:r>
      <w:r>
        <w:t>202</w:t>
      </w:r>
      <w:r>
        <w:rPr>
          <w:rFonts w:hint="eastAsia"/>
        </w:rPr>
        <w:t>6</w:t>
      </w:r>
      <w:r>
        <w:fldChar w:fldCharType="end"/>
      </w:r>
      <w:bookmarkEnd w:id="3"/>
    </w:p>
    <w:p w:rsidR="00AD446B" w:rsidRDefault="00172B4B">
      <w:pPr>
        <w:pStyle w:val="affffffffff3"/>
        <w:framePr w:wrap="auto" w:y="3398"/>
        <w:rPr>
          <w:rFonts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4"/>
    </w:p>
    <w:p w:rsidR="00AD446B" w:rsidRDefault="00172B4B">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446B" w:rsidRDefault="00172B4B">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shape id="首页自画框图3" o:spid="_x0000_s1026" o:spt="202" type="#_x0000_t202" style="position:absolute;left:0pt;margin-left:167.2pt;margin-top:-54.05pt;height:72pt;width:311.85pt;z-index:251661312;mso-width-relative:page;mso-height-relative:page;" filled="f" stroked="f" coordsize="21600,21600" o:gfxdata="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GSZUY2AAAAAsBAAAPAAAA&#10;AAAAAAEAIAAAACIAAABkcnMvZG93bnJldi54bWxQSwECFAAUAAAACACHTuJA7wll7E4CAABxBAAA&#10;DgAAAAAAAAABACAAAAAnAQAAZHJzL2Uyb0RvYy54bWxQSwUGAAAAAAYABgBZAQAA5wUAAAAA&#10;">
                <v:fill on="f" focussize="0,0"/>
                <v:stroke on="f" weight="0.5pt"/>
                <v:imagedata o:title=""/>
                <o:lock v:ext="edit" aspectratio="f"/>
                <v:textbox inset="0mm,0mm,2.54mm,0mm" style="mso-fit-shape-to-text:t;">
                  <w:txbxContent>
                    <w:p w14:paraId="6C486E14">
                      <w:pPr>
                        <w:pStyle w:val="233"/>
                        <w:rPr>
                          <w:w w:val="100"/>
                        </w:rPr>
                      </w:pPr>
                      <w:r>
                        <w:t>T/QHNX</w:t>
                      </w:r>
                    </w:p>
                  </w:txbxContent>
                </v:textbox>
              </v:shape>
            </w:pict>
          </mc:Fallback>
        </mc:AlternateContent>
      </w: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AD446B" w:rsidRDefault="00AD446B">
      <w:pPr>
        <w:pStyle w:val="afffff0"/>
        <w:framePr w:w="9639" w:h="6976" w:hRule="exact" w:hSpace="0" w:vSpace="0" w:wrap="around" w:hAnchor="page" w:y="6408"/>
        <w:jc w:val="center"/>
        <w:rPr>
          <w:rFonts w:ascii="黑体" w:eastAsia="黑体" w:hAnsi="黑体"/>
          <w:b w:val="0"/>
          <w:bCs w:val="0"/>
          <w:w w:val="100"/>
        </w:rPr>
      </w:pPr>
    </w:p>
    <w:p w:rsidR="00AD446B" w:rsidRDefault="00172B4B">
      <w:pPr>
        <w:pStyle w:val="affffffffff4"/>
        <w:framePr w:h="6974" w:hRule="exact" w:wrap="around" w:x="1419" w:anchorLock="1"/>
      </w:pPr>
      <w:r>
        <w:rPr>
          <w:rFonts w:hint="eastAsia"/>
        </w:rPr>
        <w:t>菊芋低温裹包青贮技术规范</w:t>
      </w:r>
    </w:p>
    <w:p w:rsidR="00AD446B" w:rsidRDefault="00AD446B">
      <w:pPr>
        <w:framePr w:w="9639" w:h="6974" w:hRule="exact" w:wrap="around" w:vAnchor="page" w:hAnchor="page" w:x="1419" w:y="6408" w:anchorLock="1"/>
        <w:ind w:left="-1418"/>
      </w:pPr>
    </w:p>
    <w:p w:rsidR="00AD446B" w:rsidRDefault="00172B4B">
      <w:pPr>
        <w:pStyle w:val="afffffff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5"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szCs w:val="28"/>
        </w:rPr>
        <w:t>     </w:t>
      </w:r>
      <w:r>
        <w:rPr>
          <w:rFonts w:eastAsia="黑体"/>
          <w:szCs w:val="28"/>
        </w:rPr>
        <w:fldChar w:fldCharType="end"/>
      </w:r>
      <w:bookmarkEnd w:id="5"/>
    </w:p>
    <w:p w:rsidR="00AD446B" w:rsidRDefault="00AD446B">
      <w:pPr>
        <w:framePr w:w="9639" w:h="6974" w:hRule="exact" w:wrap="around" w:vAnchor="page" w:hAnchor="page" w:x="1419" w:y="6408" w:anchorLock="1"/>
        <w:spacing w:line="760" w:lineRule="exact"/>
        <w:ind w:left="-1418"/>
      </w:pPr>
    </w:p>
    <w:p w:rsidR="00AD446B" w:rsidRDefault="00AD446B">
      <w:pPr>
        <w:pStyle w:val="afffffff8"/>
        <w:framePr w:w="9639" w:h="6974" w:hRule="exact" w:wrap="around" w:vAnchor="page" w:hAnchor="page" w:x="1419" w:y="6408" w:anchorLock="1"/>
        <w:textAlignment w:val="bottom"/>
        <w:rPr>
          <w:rFonts w:eastAsia="黑体"/>
          <w:szCs w:val="28"/>
        </w:rPr>
      </w:pPr>
    </w:p>
    <w:bookmarkStart w:id="6" w:name="_GoBack"/>
    <w:bookmarkEnd w:id="6"/>
    <w:p w:rsidR="00AD446B" w:rsidRDefault="00172B4B">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7"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7"/>
    </w:p>
    <w:p w:rsidR="00AD446B" w:rsidRDefault="00172B4B">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8" w:name="下拉2"/>
      <w:r>
        <w:rPr>
          <w:b/>
          <w:sz w:val="21"/>
          <w:szCs w:val="28"/>
        </w:rPr>
        <w:instrText xml:space="preserve"> FORMDROPDOWN </w:instrText>
      </w:r>
      <w:r w:rsidR="007477DE">
        <w:rPr>
          <w:b/>
          <w:sz w:val="21"/>
          <w:szCs w:val="28"/>
        </w:rPr>
      </w:r>
      <w:r w:rsidR="007477DE">
        <w:rPr>
          <w:b/>
          <w:sz w:val="21"/>
          <w:szCs w:val="28"/>
        </w:rPr>
        <w:fldChar w:fldCharType="separate"/>
      </w:r>
      <w:r>
        <w:rPr>
          <w:b/>
          <w:sz w:val="21"/>
          <w:szCs w:val="28"/>
        </w:rPr>
        <w:fldChar w:fldCharType="end"/>
      </w:r>
      <w:bookmarkEnd w:id="8"/>
    </w:p>
    <w:p w:rsidR="00AD446B" w:rsidRDefault="00172B4B">
      <w:pPr>
        <w:pStyle w:val="affffffffff0"/>
        <w:framePr w:wrap="around" w:y="14176"/>
      </w:pPr>
      <w:r>
        <w:rPr>
          <w:rFonts w:ascii="黑体"/>
        </w:rPr>
        <w:fldChar w:fldCharType="begin">
          <w:ffData>
            <w:name w:val="PLSH_DATE_Y"/>
            <w:enabled/>
            <w:calcOnExit w:val="0"/>
            <w:textInput>
              <w:default w:val="XXXX"/>
              <w:maxLength w:val="4"/>
            </w:textInput>
          </w:ffData>
        </w:fldChar>
      </w:r>
      <w:bookmarkStart w:id="9" w:name="PLSH_DATE_Y"/>
      <w:r>
        <w:rPr>
          <w:rFonts w:ascii="黑体"/>
        </w:rPr>
        <w:instrText xml:space="preserve"> FORMTEXT </w:instrText>
      </w:r>
      <w:r>
        <w:rPr>
          <w:rFonts w:ascii="黑体"/>
        </w:rPr>
      </w:r>
      <w:r>
        <w:rPr>
          <w:rFonts w:ascii="黑体"/>
        </w:rPr>
        <w:fldChar w:fldCharType="separate"/>
      </w:r>
      <w:r>
        <w:rPr>
          <w:rFonts w:ascii="黑体"/>
        </w:rPr>
        <w:t>202</w:t>
      </w:r>
      <w:r>
        <w:rPr>
          <w:rFonts w:ascii="黑体" w:hint="eastAsia"/>
        </w:rPr>
        <w:t>6</w:t>
      </w:r>
      <w:r>
        <w:rPr>
          <w:rFonts w:ascii="黑体"/>
        </w:rPr>
        <w:fldChar w:fldCharType="end"/>
      </w:r>
      <w:bookmarkEnd w:id="9"/>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0"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1"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rPr>
          <w:rFonts w:hint="eastAsia"/>
        </w:rPr>
        <w:t>发布</w:t>
      </w:r>
    </w:p>
    <w:p w:rsidR="00AD446B" w:rsidRDefault="00172B4B">
      <w:pPr>
        <w:pStyle w:val="affffffffff1"/>
        <w:framePr w:wrap="around" w:y="14176"/>
      </w:pPr>
      <w:r>
        <w:rPr>
          <w:rFonts w:ascii="黑体"/>
        </w:rPr>
        <w:fldChar w:fldCharType="begin">
          <w:ffData>
            <w:name w:val="CROT_DATE_Y"/>
            <w:enabled/>
            <w:calcOnExit w:val="0"/>
            <w:textInput>
              <w:default w:val="XXXX"/>
              <w:maxLength w:val="4"/>
            </w:textInput>
          </w:ffData>
        </w:fldChar>
      </w:r>
      <w:bookmarkStart w:id="12" w:name="CROT_DATE_Y"/>
      <w:r>
        <w:rPr>
          <w:rFonts w:ascii="黑体"/>
        </w:rPr>
        <w:instrText xml:space="preserve"> FORMTEXT </w:instrText>
      </w:r>
      <w:r>
        <w:rPr>
          <w:rFonts w:ascii="黑体"/>
        </w:rPr>
      </w:r>
      <w:r>
        <w:rPr>
          <w:rFonts w:ascii="黑体"/>
        </w:rPr>
        <w:fldChar w:fldCharType="separate"/>
      </w:r>
      <w:r>
        <w:rPr>
          <w:rFonts w:ascii="黑体"/>
        </w:rPr>
        <w:t>202</w:t>
      </w:r>
      <w:r>
        <w:rPr>
          <w:rFonts w:ascii="黑体" w:hint="eastAsia"/>
        </w:rPr>
        <w:t>6</w:t>
      </w:r>
      <w:r>
        <w:rPr>
          <w:rFonts w:ascii="黑体"/>
        </w:rPr>
        <w:fldChar w:fldCharType="end"/>
      </w:r>
      <w:bookmarkEnd w:id="12"/>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3"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4"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hint="eastAsia"/>
        </w:rPr>
        <w:t>实施</w:t>
      </w:r>
    </w:p>
    <w:p w:rsidR="00AD446B" w:rsidRDefault="00172B4B">
      <w:pPr>
        <w:pStyle w:val="affffffff8"/>
        <w:framePr w:h="584" w:hRule="exact" w:hSpace="181" w:vSpace="181" w:wrap="around" w:y="14800"/>
        <w:rPr>
          <w:rFonts w:hAnsi="黑体"/>
        </w:rPr>
      </w:pPr>
      <w:r>
        <w:rPr>
          <w:rFonts w:hAnsi="黑体"/>
          <w:szCs w:val="36"/>
        </w:rPr>
        <w:fldChar w:fldCharType="begin">
          <w:ffData>
            <w:name w:val="fm"/>
            <w:enabled/>
            <w:calcOnExit w:val="0"/>
            <w:textInput/>
          </w:ffData>
        </w:fldChar>
      </w:r>
      <w:bookmarkStart w:id="15"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15"/>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rsidR="00AD446B" w:rsidRDefault="00172B4B">
      <w:pPr>
        <w:rPr>
          <w:rFonts w:ascii="宋体" w:hAnsi="宋体"/>
          <w:sz w:val="28"/>
          <w:szCs w:val="28"/>
        </w:rPr>
        <w:sectPr w:rsidR="00AD446B">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AD446B" w:rsidRDefault="00172B4B">
      <w:pPr>
        <w:pStyle w:val="affffffa"/>
        <w:spacing w:after="360"/>
      </w:pPr>
      <w:bookmarkStart w:id="16" w:name="BookMark1"/>
      <w:bookmarkStart w:id="17" w:name="_Toc242435711"/>
      <w:r>
        <w:rPr>
          <w:rFonts w:hint="eastAsia"/>
          <w:spacing w:val="320"/>
        </w:rPr>
        <w:lastRenderedPageBreak/>
        <w:t>目</w:t>
      </w:r>
      <w:r>
        <w:rPr>
          <w:rFonts w:hint="eastAsia"/>
        </w:rPr>
        <w:t>次</w:t>
      </w:r>
    </w:p>
    <w:p w:rsidR="00AD446B" w:rsidRDefault="00172B4B">
      <w:pPr>
        <w:pStyle w:val="11"/>
        <w:tabs>
          <w:tab w:val="right" w:leader="dot" w:pos="9354"/>
        </w:tabs>
        <w:rPr>
          <w:rFonts w:hAnsi="宋体" w:cs="宋体"/>
        </w:rPr>
      </w:pPr>
      <w:r>
        <w:rPr>
          <w:rFonts w:hAnsi="宋体" w:cs="宋体" w:hint="eastAsia"/>
        </w:rPr>
        <w:fldChar w:fldCharType="begin"/>
      </w:r>
      <w:r>
        <w:rPr>
          <w:rFonts w:hAnsi="宋体" w:cs="宋体" w:hint="eastAsia"/>
        </w:rPr>
        <w:instrText xml:space="preserve"> TOC \o "1-1" \h \t "标准文件_一级条标题,2,标准文件_附录一级条标题,2," </w:instrText>
      </w:r>
      <w:r>
        <w:rPr>
          <w:rFonts w:hAnsi="宋体" w:cs="宋体" w:hint="eastAsia"/>
        </w:rPr>
        <w:fldChar w:fldCharType="separate"/>
      </w:r>
      <w:hyperlink w:anchor="_Toc27136" w:history="1">
        <w:r>
          <w:rPr>
            <w:rFonts w:hAnsi="宋体" w:cs="宋体" w:hint="eastAsia"/>
            <w:spacing w:val="320"/>
          </w:rPr>
          <w:t>前</w:t>
        </w:r>
        <w:r>
          <w:rPr>
            <w:rFonts w:hAnsi="宋体" w:cs="宋体" w:hint="eastAsia"/>
          </w:rPr>
          <w:t>言</w:t>
        </w:r>
        <w:r>
          <w:rPr>
            <w:rFonts w:hAnsi="宋体" w:cs="宋体" w:hint="eastAsia"/>
          </w:rPr>
          <w:tab/>
        </w:r>
        <w:r>
          <w:rPr>
            <w:rFonts w:hAnsi="宋体" w:cs="宋体" w:hint="eastAsia"/>
          </w:rPr>
          <w:fldChar w:fldCharType="begin"/>
        </w:r>
        <w:r>
          <w:rPr>
            <w:rFonts w:hAnsi="宋体" w:cs="宋体" w:hint="eastAsia"/>
          </w:rPr>
          <w:instrText xml:space="preserve"> PAGEREF _Toc27136 \h </w:instrText>
        </w:r>
        <w:r>
          <w:rPr>
            <w:rFonts w:hAnsi="宋体" w:cs="宋体" w:hint="eastAsia"/>
          </w:rPr>
        </w:r>
        <w:r>
          <w:rPr>
            <w:rFonts w:hAnsi="宋体" w:cs="宋体" w:hint="eastAsia"/>
          </w:rPr>
          <w:fldChar w:fldCharType="separate"/>
        </w:r>
        <w:r>
          <w:rPr>
            <w:rFonts w:hAnsi="宋体" w:cs="宋体" w:hint="eastAsia"/>
          </w:rPr>
          <w:t>II</w:t>
        </w:r>
        <w:r>
          <w:rPr>
            <w:rFonts w:hAnsi="宋体" w:cs="宋体" w:hint="eastAsia"/>
          </w:rPr>
          <w:fldChar w:fldCharType="end"/>
        </w:r>
      </w:hyperlink>
    </w:p>
    <w:p w:rsidR="00AD446B" w:rsidRDefault="007477DE">
      <w:pPr>
        <w:pStyle w:val="11"/>
        <w:tabs>
          <w:tab w:val="right" w:leader="dot" w:pos="9354"/>
        </w:tabs>
        <w:rPr>
          <w:rFonts w:hAnsi="宋体" w:cs="宋体"/>
        </w:rPr>
      </w:pPr>
      <w:hyperlink w:anchor="_Toc26143" w:history="1">
        <w:r w:rsidR="00172B4B">
          <w:rPr>
            <w:rFonts w:hAnsi="宋体" w:cs="宋体" w:hint="eastAsia"/>
          </w:rPr>
          <w:t>1 范围</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_Toc26143 \h </w:instrText>
        </w:r>
        <w:r w:rsidR="00172B4B">
          <w:rPr>
            <w:rFonts w:hAnsi="宋体" w:cs="宋体" w:hint="eastAsia"/>
          </w:rPr>
        </w:r>
        <w:r w:rsidR="00172B4B">
          <w:rPr>
            <w:rFonts w:hAnsi="宋体" w:cs="宋体" w:hint="eastAsia"/>
          </w:rPr>
          <w:fldChar w:fldCharType="separate"/>
        </w:r>
        <w:r w:rsidR="00172B4B">
          <w:rPr>
            <w:rFonts w:hAnsi="宋体" w:cs="宋体" w:hint="eastAsia"/>
          </w:rPr>
          <w:t>3</w:t>
        </w:r>
        <w:r w:rsidR="00172B4B">
          <w:rPr>
            <w:rFonts w:hAnsi="宋体" w:cs="宋体" w:hint="eastAsia"/>
          </w:rPr>
          <w:fldChar w:fldCharType="end"/>
        </w:r>
      </w:hyperlink>
    </w:p>
    <w:p w:rsidR="00AD446B" w:rsidRDefault="007477DE">
      <w:pPr>
        <w:pStyle w:val="11"/>
        <w:tabs>
          <w:tab w:val="right" w:leader="dot" w:pos="9354"/>
        </w:tabs>
        <w:rPr>
          <w:rFonts w:hAnsi="宋体" w:cs="宋体"/>
        </w:rPr>
      </w:pPr>
      <w:hyperlink w:anchor="_Toc30719" w:history="1">
        <w:r w:rsidR="00172B4B">
          <w:rPr>
            <w:rFonts w:hAnsi="宋体" w:cs="宋体" w:hint="eastAsia"/>
          </w:rPr>
          <w:t>2 规范性引用文件</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_Toc30719 \h </w:instrText>
        </w:r>
        <w:r w:rsidR="00172B4B">
          <w:rPr>
            <w:rFonts w:hAnsi="宋体" w:cs="宋体" w:hint="eastAsia"/>
          </w:rPr>
        </w:r>
        <w:r w:rsidR="00172B4B">
          <w:rPr>
            <w:rFonts w:hAnsi="宋体" w:cs="宋体" w:hint="eastAsia"/>
          </w:rPr>
          <w:fldChar w:fldCharType="separate"/>
        </w:r>
        <w:r w:rsidR="00172B4B">
          <w:rPr>
            <w:rFonts w:hAnsi="宋体" w:cs="宋体" w:hint="eastAsia"/>
          </w:rPr>
          <w:t>3</w:t>
        </w:r>
        <w:r w:rsidR="00172B4B">
          <w:rPr>
            <w:rFonts w:hAnsi="宋体" w:cs="宋体" w:hint="eastAsia"/>
          </w:rPr>
          <w:fldChar w:fldCharType="end"/>
        </w:r>
      </w:hyperlink>
    </w:p>
    <w:p w:rsidR="00AD446B" w:rsidRDefault="007477DE">
      <w:pPr>
        <w:pStyle w:val="11"/>
        <w:tabs>
          <w:tab w:val="right" w:leader="dot" w:pos="9354"/>
        </w:tabs>
        <w:rPr>
          <w:rFonts w:hAnsi="宋体" w:cs="宋体"/>
        </w:rPr>
      </w:pPr>
      <w:hyperlink w:anchor="_Toc31515" w:history="1">
        <w:r w:rsidR="00172B4B">
          <w:rPr>
            <w:rFonts w:hAnsi="宋体" w:cs="宋体" w:hint="eastAsia"/>
          </w:rPr>
          <w:t>3 术语和定义</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_Toc31515 \h </w:instrText>
        </w:r>
        <w:r w:rsidR="00172B4B">
          <w:rPr>
            <w:rFonts w:hAnsi="宋体" w:cs="宋体" w:hint="eastAsia"/>
          </w:rPr>
        </w:r>
        <w:r w:rsidR="00172B4B">
          <w:rPr>
            <w:rFonts w:hAnsi="宋体" w:cs="宋体" w:hint="eastAsia"/>
          </w:rPr>
          <w:fldChar w:fldCharType="separate"/>
        </w:r>
        <w:r w:rsidR="00172B4B">
          <w:rPr>
            <w:rFonts w:hAnsi="宋体" w:cs="宋体" w:hint="eastAsia"/>
          </w:rPr>
          <w:t>3</w:t>
        </w:r>
        <w:r w:rsidR="00172B4B">
          <w:rPr>
            <w:rFonts w:hAnsi="宋体" w:cs="宋体" w:hint="eastAsia"/>
          </w:rPr>
          <w:fldChar w:fldCharType="end"/>
        </w:r>
      </w:hyperlink>
    </w:p>
    <w:p w:rsidR="00AD446B" w:rsidRDefault="007477DE">
      <w:pPr>
        <w:pStyle w:val="11"/>
        <w:tabs>
          <w:tab w:val="right" w:leader="dot" w:pos="9354"/>
        </w:tabs>
        <w:rPr>
          <w:rFonts w:hAnsi="宋体" w:cs="宋体"/>
        </w:rPr>
      </w:pPr>
      <w:hyperlink w:anchor="_Toc9539" w:history="1">
        <w:r w:rsidR="00172B4B">
          <w:rPr>
            <w:rFonts w:hAnsi="宋体" w:cs="宋体" w:hint="eastAsia"/>
          </w:rPr>
          <w:t>4 青贮技术</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_Toc9539 \h </w:instrText>
        </w:r>
        <w:r w:rsidR="00172B4B">
          <w:rPr>
            <w:rFonts w:hAnsi="宋体" w:cs="宋体" w:hint="eastAsia"/>
          </w:rPr>
        </w:r>
        <w:r w:rsidR="00172B4B">
          <w:rPr>
            <w:rFonts w:hAnsi="宋体" w:cs="宋体" w:hint="eastAsia"/>
          </w:rPr>
          <w:fldChar w:fldCharType="separate"/>
        </w:r>
        <w:r w:rsidR="00172B4B">
          <w:rPr>
            <w:rFonts w:hAnsi="宋体" w:cs="宋体" w:hint="eastAsia"/>
          </w:rPr>
          <w:t>3</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13124" w:history="1">
        <w:r w:rsidR="00172B4B">
          <w:rPr>
            <w:rFonts w:hAnsi="宋体" w:cs="宋体" w:hint="eastAsia"/>
            <w:kern w:val="0"/>
            <w14:scene3d>
              <w14:camera w14:prst="orthographicFront"/>
              <w14:lightRig w14:rig="threePt" w14:dir="t">
                <w14:rot w14:lat="0" w14:lon="0" w14:rev="0"/>
              </w14:lightRig>
            </w14:scene3d>
          </w:rPr>
          <w:t xml:space="preserve">4.1 </w:t>
        </w:r>
        <w:r w:rsidR="00172B4B">
          <w:rPr>
            <w:rFonts w:hAnsi="宋体" w:cs="宋体" w:hint="eastAsia"/>
          </w:rPr>
          <w:t>作业流程</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_Toc13124 \h </w:instrText>
        </w:r>
        <w:r w:rsidR="00172B4B">
          <w:rPr>
            <w:rFonts w:hAnsi="宋体" w:cs="宋体" w:hint="eastAsia"/>
          </w:rPr>
        </w:r>
        <w:r w:rsidR="00172B4B">
          <w:rPr>
            <w:rFonts w:hAnsi="宋体" w:cs="宋体" w:hint="eastAsia"/>
          </w:rPr>
          <w:fldChar w:fldCharType="separate"/>
        </w:r>
        <w:r w:rsidR="00172B4B">
          <w:rPr>
            <w:rFonts w:hAnsi="宋体" w:cs="宋体" w:hint="eastAsia"/>
          </w:rPr>
          <w:t>3</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12036" w:history="1">
        <w:r w:rsidR="00172B4B">
          <w:rPr>
            <w:rFonts w:hAnsi="宋体" w:cs="宋体" w:hint="eastAsia"/>
            <w:kern w:val="0"/>
            <w14:scene3d>
              <w14:camera w14:prst="orthographicFront"/>
              <w14:lightRig w14:rig="threePt" w14:dir="t">
                <w14:rot w14:lat="0" w14:lon="0" w14:rev="0"/>
              </w14:lightRig>
            </w14:scene3d>
          </w:rPr>
          <w:t xml:space="preserve">4.2 </w:t>
        </w:r>
        <w:r w:rsidR="00172B4B">
          <w:rPr>
            <w:rFonts w:hAnsi="宋体" w:cs="宋体" w:hint="eastAsia"/>
          </w:rPr>
          <w:t>青贮前准备</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_Toc12036 \h </w:instrText>
        </w:r>
        <w:r w:rsidR="00172B4B">
          <w:rPr>
            <w:rFonts w:hAnsi="宋体" w:cs="宋体" w:hint="eastAsia"/>
          </w:rPr>
        </w:r>
        <w:r w:rsidR="00172B4B">
          <w:rPr>
            <w:rFonts w:hAnsi="宋体" w:cs="宋体" w:hint="eastAsia"/>
          </w:rPr>
          <w:fldChar w:fldCharType="separate"/>
        </w:r>
        <w:r w:rsidR="00172B4B">
          <w:rPr>
            <w:rFonts w:hAnsi="宋体" w:cs="宋体" w:hint="eastAsia"/>
          </w:rPr>
          <w:t>3</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10469" w:history="1">
        <w:r w:rsidR="00172B4B">
          <w:rPr>
            <w:rFonts w:hAnsi="宋体" w:cs="宋体" w:hint="eastAsia"/>
            <w:kern w:val="0"/>
            <w14:scene3d>
              <w14:camera w14:prst="orthographicFront"/>
              <w14:lightRig w14:rig="threePt" w14:dir="t">
                <w14:rot w14:lat="0" w14:lon="0" w14:rev="0"/>
              </w14:lightRig>
            </w14:scene3d>
          </w:rPr>
          <w:t xml:space="preserve">4.3 </w:t>
        </w:r>
        <w:r w:rsidR="00172B4B">
          <w:rPr>
            <w:rFonts w:hAnsi="宋体" w:cs="宋体" w:hint="eastAsia"/>
          </w:rPr>
          <w:t>添加剂使用</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_Toc10469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6286" w:history="1">
        <w:r w:rsidR="00172B4B">
          <w:rPr>
            <w:rFonts w:hAnsi="宋体" w:cs="宋体" w:hint="eastAsia"/>
            <w:kern w:val="0"/>
            <w14:scene3d>
              <w14:camera w14:prst="orthographicFront"/>
              <w14:lightRig w14:rig="threePt" w14:dir="t">
                <w14:rot w14:lat="0" w14:lon="0" w14:rev="0"/>
              </w14:lightRig>
            </w14:scene3d>
          </w:rPr>
          <w:t xml:space="preserve">4.4 </w:t>
        </w:r>
        <w:r w:rsidR="00172B4B">
          <w:rPr>
            <w:rFonts w:hAnsi="宋体" w:cs="宋体" w:hint="eastAsia"/>
          </w:rPr>
          <w:t>混拌</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_Toc6286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929" w:history="1">
        <w:r w:rsidR="00172B4B">
          <w:rPr>
            <w:rFonts w:hAnsi="宋体" w:cs="宋体" w:hint="eastAsia"/>
            <w:kern w:val="0"/>
            <w14:scene3d>
              <w14:camera w14:prst="orthographicFront"/>
              <w14:lightRig w14:rig="threePt" w14:dir="t">
                <w14:rot w14:lat="0" w14:lon="0" w14:rev="0"/>
              </w14:lightRig>
            </w14:scene3d>
          </w:rPr>
          <w:t xml:space="preserve">4.5 </w:t>
        </w:r>
        <w:r w:rsidR="00172B4B">
          <w:rPr>
            <w:rFonts w:hAnsi="宋体" w:cs="宋体" w:hint="eastAsia"/>
          </w:rPr>
          <w:t>打捆压实</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_Toc929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24178" w:history="1">
        <w:r w:rsidR="00172B4B">
          <w:rPr>
            <w:rFonts w:hAnsi="宋体" w:cs="宋体" w:hint="eastAsia"/>
            <w:kern w:val="0"/>
            <w14:scene3d>
              <w14:camera w14:prst="orthographicFront"/>
              <w14:lightRig w14:rig="threePt" w14:dir="t">
                <w14:rot w14:lat="0" w14:lon="0" w14:rev="0"/>
              </w14:lightRig>
            </w14:scene3d>
          </w:rPr>
          <w:t xml:space="preserve">4.6 </w:t>
        </w:r>
        <w:r w:rsidR="00172B4B">
          <w:rPr>
            <w:rFonts w:hAnsi="宋体" w:cs="宋体" w:hint="eastAsia"/>
          </w:rPr>
          <w:t>裹包密封</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_Toc24178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23378" w:history="1">
        <w:r w:rsidR="00172B4B">
          <w:rPr>
            <w:rFonts w:hAnsi="宋体" w:cs="宋体" w:hint="eastAsia"/>
            <w:kern w:val="0"/>
            <w14:scene3d>
              <w14:camera w14:prst="orthographicFront"/>
              <w14:lightRig w14:rig="threePt" w14:dir="t">
                <w14:rot w14:lat="0" w14:lon="0" w14:rev="0"/>
              </w14:lightRig>
            </w14:scene3d>
          </w:rPr>
          <w:t xml:space="preserve">4.7 </w:t>
        </w:r>
        <w:r w:rsidR="00172B4B">
          <w:rPr>
            <w:rFonts w:hAnsi="宋体" w:cs="宋体" w:hint="eastAsia"/>
          </w:rPr>
          <w:t>发酵</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_Toc23378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11"/>
        <w:tabs>
          <w:tab w:val="right" w:leader="dot" w:pos="9354"/>
        </w:tabs>
        <w:rPr>
          <w:rFonts w:hAnsi="宋体" w:cs="宋体"/>
        </w:rPr>
      </w:pPr>
      <w:hyperlink w:anchor="_Toc22632" w:history="1">
        <w:r w:rsidR="00172B4B">
          <w:rPr>
            <w:rFonts w:hAnsi="宋体" w:cs="宋体" w:hint="eastAsia"/>
          </w:rPr>
          <w:t>5 青贮饲料管理</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_Toc22632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11"/>
        <w:tabs>
          <w:tab w:val="right" w:leader="dot" w:pos="9354"/>
        </w:tabs>
        <w:rPr>
          <w:rFonts w:hAnsi="宋体" w:cs="宋体"/>
        </w:rPr>
      </w:pPr>
      <w:hyperlink w:anchor="_Toc29427" w:history="1">
        <w:r w:rsidR="00172B4B">
          <w:rPr>
            <w:rFonts w:hAnsi="宋体" w:cs="宋体" w:hint="eastAsia"/>
          </w:rPr>
          <w:t>6 青贮饲料质量判定</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_Toc29427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26398" w:history="1">
        <w:r w:rsidR="00172B4B">
          <w:rPr>
            <w:rFonts w:hAnsi="宋体" w:cs="宋体" w:hint="eastAsia"/>
            <w:kern w:val="0"/>
            <w14:scene3d>
              <w14:camera w14:prst="orthographicFront"/>
              <w14:lightRig w14:rig="threePt" w14:dir="t">
                <w14:rot w14:lat="0" w14:lon="0" w14:rev="0"/>
              </w14:lightRig>
            </w14:scene3d>
          </w:rPr>
          <w:t xml:space="preserve">6.1 </w:t>
        </w:r>
        <w:r w:rsidR="00172B4B">
          <w:rPr>
            <w:rFonts w:hAnsi="宋体" w:cs="宋体" w:hint="eastAsia"/>
          </w:rPr>
          <w:t>判定时间</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_Toc26398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5037" w:history="1">
        <w:r w:rsidR="00172B4B">
          <w:rPr>
            <w:rFonts w:hAnsi="宋体" w:cs="宋体" w:hint="eastAsia"/>
            <w:kern w:val="0"/>
            <w14:scene3d>
              <w14:camera w14:prst="orthographicFront"/>
              <w14:lightRig w14:rig="threePt" w14:dir="t">
                <w14:rot w14:lat="0" w14:lon="0" w14:rev="0"/>
              </w14:lightRig>
            </w14:scene3d>
          </w:rPr>
          <w:t xml:space="preserve">6.2 </w:t>
        </w:r>
        <w:r w:rsidR="00172B4B">
          <w:rPr>
            <w:rFonts w:hAnsi="宋体" w:cs="宋体" w:hint="eastAsia"/>
          </w:rPr>
          <w:t>抽样</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_Toc5037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13693" w:history="1">
        <w:r w:rsidR="00172B4B">
          <w:rPr>
            <w:rFonts w:hAnsi="宋体" w:cs="宋体" w:hint="eastAsia"/>
            <w:kern w:val="0"/>
            <w14:scene3d>
              <w14:camera w14:prst="orthographicFront"/>
              <w14:lightRig w14:rig="threePt" w14:dir="t">
                <w14:rot w14:lat="0" w14:lon="0" w14:rev="0"/>
              </w14:lightRig>
            </w14:scene3d>
          </w:rPr>
          <w:t xml:space="preserve">6.3 </w:t>
        </w:r>
        <w:r w:rsidR="00172B4B">
          <w:rPr>
            <w:rFonts w:hAnsi="宋体" w:cs="宋体" w:hint="eastAsia"/>
          </w:rPr>
          <w:t>质量判定</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_Toc13693 \h </w:instrText>
        </w:r>
        <w:r w:rsidR="00172B4B">
          <w:rPr>
            <w:rFonts w:hAnsi="宋体" w:cs="宋体" w:hint="eastAsia"/>
          </w:rPr>
        </w:r>
        <w:r w:rsidR="00172B4B">
          <w:rPr>
            <w:rFonts w:hAnsi="宋体" w:cs="宋体" w:hint="eastAsia"/>
          </w:rPr>
          <w:fldChar w:fldCharType="separate"/>
        </w:r>
        <w:r w:rsidR="00172B4B">
          <w:rPr>
            <w:rFonts w:hAnsi="宋体" w:cs="宋体" w:hint="eastAsia"/>
          </w:rPr>
          <w:t>4</w:t>
        </w:r>
        <w:r w:rsidR="00172B4B">
          <w:rPr>
            <w:rFonts w:hAnsi="宋体" w:cs="宋体" w:hint="eastAsia"/>
          </w:rPr>
          <w:fldChar w:fldCharType="end"/>
        </w:r>
      </w:hyperlink>
    </w:p>
    <w:p w:rsidR="00AD446B" w:rsidRDefault="007477DE">
      <w:pPr>
        <w:pStyle w:val="24"/>
        <w:tabs>
          <w:tab w:val="clear" w:pos="9344"/>
          <w:tab w:val="right" w:leader="dot" w:pos="9354"/>
        </w:tabs>
        <w:rPr>
          <w:rFonts w:hAnsi="宋体" w:cs="宋体"/>
        </w:rPr>
      </w:pPr>
      <w:hyperlink w:anchor="_Toc20868" w:history="1">
        <w:r w:rsidR="00172B4B">
          <w:rPr>
            <w:rFonts w:hAnsi="宋体" w:cs="宋体" w:hint="eastAsia"/>
            <w:kern w:val="0"/>
            <w14:scene3d>
              <w14:camera w14:prst="orthographicFront"/>
              <w14:lightRig w14:rig="threePt" w14:dir="t">
                <w14:rot w14:lat="0" w14:lon="0" w14:rev="0"/>
              </w14:lightRig>
            </w14:scene3d>
          </w:rPr>
          <w:t xml:space="preserve">6.4 </w:t>
        </w:r>
        <w:r w:rsidR="00172B4B">
          <w:rPr>
            <w:rFonts w:hAnsi="宋体" w:cs="宋体" w:hint="eastAsia"/>
          </w:rPr>
          <w:t>卫生指标</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_Toc20868 \h </w:instrText>
        </w:r>
        <w:r w:rsidR="00172B4B">
          <w:rPr>
            <w:rFonts w:hAnsi="宋体" w:cs="宋体" w:hint="eastAsia"/>
          </w:rPr>
        </w:r>
        <w:r w:rsidR="00172B4B">
          <w:rPr>
            <w:rFonts w:hAnsi="宋体" w:cs="宋体" w:hint="eastAsia"/>
          </w:rPr>
          <w:fldChar w:fldCharType="separate"/>
        </w:r>
        <w:r w:rsidR="00172B4B">
          <w:rPr>
            <w:rFonts w:hAnsi="宋体" w:cs="宋体" w:hint="eastAsia"/>
          </w:rPr>
          <w:t>5</w:t>
        </w:r>
        <w:r w:rsidR="00172B4B">
          <w:rPr>
            <w:rFonts w:hAnsi="宋体" w:cs="宋体" w:hint="eastAsia"/>
          </w:rPr>
          <w:fldChar w:fldCharType="end"/>
        </w:r>
      </w:hyperlink>
    </w:p>
    <w:p w:rsidR="00AD446B" w:rsidRDefault="007477DE">
      <w:pPr>
        <w:pStyle w:val="11"/>
        <w:tabs>
          <w:tab w:val="right" w:leader="dot" w:pos="9354"/>
        </w:tabs>
        <w:rPr>
          <w:rFonts w:hAnsi="宋体" w:cs="宋体"/>
        </w:rPr>
      </w:pPr>
      <w:hyperlink w:anchor="_Toc20791" w:history="1">
        <w:r w:rsidR="00172B4B">
          <w:rPr>
            <w:rFonts w:hAnsi="宋体" w:cs="宋体" w:hint="eastAsia"/>
          </w:rPr>
          <w:t>7 开封利用</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_Toc20791 \h </w:instrText>
        </w:r>
        <w:r w:rsidR="00172B4B">
          <w:rPr>
            <w:rFonts w:hAnsi="宋体" w:cs="宋体" w:hint="eastAsia"/>
          </w:rPr>
        </w:r>
        <w:r w:rsidR="00172B4B">
          <w:rPr>
            <w:rFonts w:hAnsi="宋体" w:cs="宋体" w:hint="eastAsia"/>
          </w:rPr>
          <w:fldChar w:fldCharType="separate"/>
        </w:r>
        <w:r w:rsidR="00172B4B">
          <w:rPr>
            <w:rFonts w:hAnsi="宋体" w:cs="宋体" w:hint="eastAsia"/>
          </w:rPr>
          <w:t>5</w:t>
        </w:r>
        <w:r w:rsidR="00172B4B">
          <w:rPr>
            <w:rFonts w:hAnsi="宋体" w:cs="宋体" w:hint="eastAsia"/>
          </w:rPr>
          <w:fldChar w:fldCharType="end"/>
        </w:r>
      </w:hyperlink>
    </w:p>
    <w:p w:rsidR="00AD446B" w:rsidRDefault="007477DE">
      <w:pPr>
        <w:pStyle w:val="11"/>
        <w:tabs>
          <w:tab w:val="right" w:leader="dot" w:pos="9354"/>
        </w:tabs>
        <w:rPr>
          <w:rFonts w:hAnsi="宋体" w:cs="宋体"/>
        </w:rPr>
      </w:pPr>
      <w:hyperlink w:anchor="_Toc3641" w:history="1">
        <w:r w:rsidR="00172B4B">
          <w:rPr>
            <w:rFonts w:hAnsi="宋体" w:cs="宋体" w:hint="eastAsia"/>
            <w:spacing w:val="100"/>
          </w:rPr>
          <w:t xml:space="preserve">附录A </w:t>
        </w:r>
        <w:r w:rsidR="00172B4B">
          <w:rPr>
            <w:rFonts w:hAnsi="宋体" w:cs="宋体" w:hint="eastAsia"/>
          </w:rPr>
          <w:t xml:space="preserve"> （资料性） 菊芋青贮饲料发酵品质分级判定方法</w:t>
        </w:r>
        <w:r w:rsidR="00172B4B">
          <w:rPr>
            <w:rFonts w:hAnsi="宋体" w:cs="宋体" w:hint="eastAsia"/>
          </w:rPr>
          <w:tab/>
        </w:r>
        <w:r w:rsidR="00172B4B">
          <w:rPr>
            <w:rFonts w:hAnsi="宋体" w:cs="宋体" w:hint="eastAsia"/>
          </w:rPr>
          <w:fldChar w:fldCharType="begin"/>
        </w:r>
        <w:r w:rsidR="00172B4B">
          <w:rPr>
            <w:rFonts w:hAnsi="宋体" w:cs="宋体" w:hint="eastAsia"/>
          </w:rPr>
          <w:instrText xml:space="preserve"> PAGEREF _Toc3641 \h </w:instrText>
        </w:r>
        <w:r w:rsidR="00172B4B">
          <w:rPr>
            <w:rFonts w:hAnsi="宋体" w:cs="宋体" w:hint="eastAsia"/>
          </w:rPr>
        </w:r>
        <w:r w:rsidR="00172B4B">
          <w:rPr>
            <w:rFonts w:hAnsi="宋体" w:cs="宋体" w:hint="eastAsia"/>
          </w:rPr>
          <w:fldChar w:fldCharType="separate"/>
        </w:r>
        <w:r w:rsidR="00172B4B">
          <w:rPr>
            <w:rFonts w:hAnsi="宋体" w:cs="宋体" w:hint="eastAsia"/>
          </w:rPr>
          <w:t>6</w:t>
        </w:r>
        <w:r w:rsidR="00172B4B">
          <w:rPr>
            <w:rFonts w:hAnsi="宋体" w:cs="宋体" w:hint="eastAsia"/>
          </w:rPr>
          <w:fldChar w:fldCharType="end"/>
        </w:r>
      </w:hyperlink>
    </w:p>
    <w:p w:rsidR="00AD446B" w:rsidRDefault="00172B4B">
      <w:pPr>
        <w:pStyle w:val="affffffa"/>
        <w:spacing w:after="360"/>
        <w:sectPr w:rsidR="00AD446B">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rPr>
          <w:rFonts w:ascii="宋体" w:eastAsia="宋体" w:hAnsi="宋体" w:cs="宋体" w:hint="eastAsia"/>
        </w:rPr>
        <w:fldChar w:fldCharType="end"/>
      </w:r>
    </w:p>
    <w:p w:rsidR="00AD446B" w:rsidRDefault="00172B4B">
      <w:pPr>
        <w:pStyle w:val="a6"/>
        <w:spacing w:before="560" w:after="360"/>
      </w:pPr>
      <w:bookmarkStart w:id="18" w:name="_Toc27136"/>
      <w:bookmarkStart w:id="19" w:name="BookMark2"/>
      <w:bookmarkEnd w:id="16"/>
      <w:r>
        <w:rPr>
          <w:spacing w:val="320"/>
        </w:rPr>
        <w:lastRenderedPageBreak/>
        <w:t>前</w:t>
      </w:r>
      <w:r>
        <w:t>言</w:t>
      </w:r>
      <w:bookmarkEnd w:id="17"/>
      <w:bookmarkEnd w:id="18"/>
    </w:p>
    <w:p w:rsidR="00AD446B" w:rsidRDefault="00172B4B">
      <w:pPr>
        <w:pStyle w:val="afffff5"/>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AD446B" w:rsidRDefault="00172B4B">
      <w:pPr>
        <w:pStyle w:val="afffff5"/>
        <w:ind w:firstLine="420"/>
      </w:pPr>
      <w:r>
        <w:rPr>
          <w:rFonts w:hint="eastAsia"/>
        </w:rPr>
        <w:t>请注意本文件的某些内容可能涉及专利。本文件的发布机构不承担识别专利的责任。</w:t>
      </w:r>
    </w:p>
    <w:p w:rsidR="00AD446B" w:rsidRDefault="00172B4B">
      <w:pPr>
        <w:pStyle w:val="afffff5"/>
        <w:ind w:firstLine="420"/>
      </w:pPr>
      <w:r>
        <w:rPr>
          <w:rFonts w:hint="eastAsia"/>
        </w:rPr>
        <w:t>本文件由青海大学农林科学院提出。</w:t>
      </w:r>
    </w:p>
    <w:p w:rsidR="00AD446B" w:rsidRDefault="00172B4B">
      <w:pPr>
        <w:pStyle w:val="afffff5"/>
        <w:ind w:firstLine="420"/>
      </w:pPr>
      <w:r>
        <w:rPr>
          <w:rFonts w:hint="eastAsia"/>
        </w:rPr>
        <w:t>本文件由青海省农学会归口。</w:t>
      </w:r>
    </w:p>
    <w:p w:rsidR="00AD446B" w:rsidRDefault="00172B4B">
      <w:pPr>
        <w:pStyle w:val="afffff5"/>
        <w:ind w:firstLine="420"/>
      </w:pPr>
      <w:r>
        <w:rPr>
          <w:rFonts w:hint="eastAsia"/>
        </w:rPr>
        <w:t>本文件起草单位：青海大学农林科学院、青海现代草业发展有限公司、西宁市湟中区畜牧兽医站。</w:t>
      </w:r>
    </w:p>
    <w:p w:rsidR="00AD446B" w:rsidRDefault="00172B4B">
      <w:pPr>
        <w:pStyle w:val="afffff5"/>
        <w:ind w:firstLine="420"/>
      </w:pPr>
      <w:r>
        <w:rPr>
          <w:rFonts w:hint="eastAsia"/>
        </w:rPr>
        <w:t>本文件主要起草人：魏晓强，王丽慧，朱雪冰，孙雪梅，张海旺，李瑞鑫，陈永祥。</w:t>
      </w:r>
    </w:p>
    <w:p w:rsidR="00AD446B" w:rsidRDefault="00172B4B">
      <w:pPr>
        <w:pStyle w:val="afffff5"/>
        <w:ind w:firstLine="420"/>
      </w:pPr>
      <w:r>
        <w:rPr>
          <w:rFonts w:hint="eastAsia"/>
        </w:rPr>
        <w:t>本文件由青海省农学会监督实施。</w:t>
      </w:r>
    </w:p>
    <w:p w:rsidR="00AD446B" w:rsidRDefault="00AD446B">
      <w:pPr>
        <w:pStyle w:val="afffff5"/>
        <w:ind w:firstLine="420"/>
      </w:pPr>
    </w:p>
    <w:p w:rsidR="00AD446B" w:rsidRDefault="00AD446B">
      <w:pPr>
        <w:pStyle w:val="afffff5"/>
        <w:ind w:firstLine="420"/>
        <w:sectPr w:rsidR="00AD446B">
          <w:pgSz w:w="11906" w:h="16838"/>
          <w:pgMar w:top="1928" w:right="1134" w:bottom="1134" w:left="1134" w:header="1418" w:footer="1134" w:gutter="284"/>
          <w:pgNumType w:fmt="upperRoman"/>
          <w:cols w:space="425"/>
          <w:formProt w:val="0"/>
          <w:docGrid w:linePitch="312"/>
        </w:sectPr>
      </w:pPr>
    </w:p>
    <w:p w:rsidR="00AD446B" w:rsidRDefault="00AD446B">
      <w:pPr>
        <w:spacing w:line="20" w:lineRule="exact"/>
        <w:jc w:val="center"/>
        <w:rPr>
          <w:rFonts w:ascii="黑体" w:eastAsia="黑体" w:hAnsi="黑体"/>
          <w:sz w:val="32"/>
          <w:szCs w:val="32"/>
        </w:rPr>
      </w:pPr>
      <w:bookmarkStart w:id="20" w:name="BookMark4"/>
      <w:bookmarkEnd w:id="19"/>
    </w:p>
    <w:p w:rsidR="00AD446B" w:rsidRDefault="00AD446B">
      <w:pPr>
        <w:spacing w:line="20" w:lineRule="exact"/>
        <w:jc w:val="center"/>
        <w:rPr>
          <w:rFonts w:ascii="黑体" w:eastAsia="黑体" w:hAnsi="黑体"/>
          <w:sz w:val="32"/>
          <w:szCs w:val="32"/>
        </w:rPr>
      </w:pPr>
    </w:p>
    <w:bookmarkStart w:id="21" w:name="NEW_STAND_NAME" w:displacedByCustomXml="next"/>
    <w:sdt>
      <w:sdtPr>
        <w:tag w:val="NEW_STAND_NAME"/>
        <w:id w:val="595910757"/>
        <w:lock w:val="sdtLocked"/>
        <w:placeholder>
          <w:docPart w:val="A8E6DD6507E142BF9D642616A900B96D"/>
        </w:placeholder>
      </w:sdtPr>
      <w:sdtEndPr/>
      <w:sdtContent>
        <w:p w:rsidR="00AD446B" w:rsidRDefault="00172B4B">
          <w:pPr>
            <w:pStyle w:val="afffffffff8"/>
            <w:spacing w:beforeLines="1" w:before="2" w:afterLines="220" w:after="528"/>
          </w:pPr>
          <w:r>
            <w:rPr>
              <w:rFonts w:hint="eastAsia"/>
            </w:rPr>
            <w:t>菊芋低温裹包青贮技术规范</w:t>
          </w:r>
        </w:p>
      </w:sdtContent>
    </w:sdt>
    <w:p w:rsidR="00AD446B" w:rsidRDefault="00172B4B" w:rsidP="00973D97">
      <w:pPr>
        <w:pStyle w:val="affc"/>
        <w:spacing w:before="240" w:after="240"/>
      </w:pPr>
      <w:bookmarkStart w:id="22" w:name="_Toc26648465"/>
      <w:bookmarkStart w:id="23" w:name="_Toc242435712"/>
      <w:bookmarkStart w:id="24" w:name="_Toc26986530"/>
      <w:bookmarkStart w:id="25" w:name="_Toc26143"/>
      <w:bookmarkStart w:id="26" w:name="_Toc24884211"/>
      <w:bookmarkStart w:id="27" w:name="_Toc24884218"/>
      <w:bookmarkStart w:id="28" w:name="_Toc26986771"/>
      <w:bookmarkStart w:id="29" w:name="_Toc17233325"/>
      <w:bookmarkStart w:id="30" w:name="_Toc97192964"/>
      <w:bookmarkStart w:id="31" w:name="_Toc17233333"/>
      <w:bookmarkStart w:id="32" w:name="_Toc26718930"/>
      <w:bookmarkEnd w:id="21"/>
      <w:r>
        <w:rPr>
          <w:rFonts w:hint="eastAsia"/>
        </w:rPr>
        <w:t>范围</w:t>
      </w:r>
      <w:bookmarkEnd w:id="22"/>
      <w:bookmarkEnd w:id="23"/>
      <w:bookmarkEnd w:id="24"/>
      <w:bookmarkEnd w:id="25"/>
      <w:bookmarkEnd w:id="26"/>
      <w:bookmarkEnd w:id="27"/>
      <w:bookmarkEnd w:id="28"/>
      <w:bookmarkEnd w:id="29"/>
      <w:bookmarkEnd w:id="30"/>
      <w:bookmarkEnd w:id="31"/>
      <w:bookmarkEnd w:id="32"/>
    </w:p>
    <w:p w:rsidR="00AD446B" w:rsidRDefault="00172B4B">
      <w:pPr>
        <w:pStyle w:val="afffff5"/>
        <w:ind w:firstLine="420"/>
      </w:pPr>
      <w:bookmarkStart w:id="33" w:name="_Toc24884212"/>
      <w:bookmarkStart w:id="34" w:name="_Toc17233334"/>
      <w:bookmarkStart w:id="35" w:name="_Toc17233326"/>
      <w:bookmarkStart w:id="36" w:name="_Toc26648466"/>
      <w:bookmarkStart w:id="37" w:name="_Toc24884219"/>
      <w:r>
        <w:rPr>
          <w:rFonts w:hint="eastAsia"/>
        </w:rPr>
        <w:t>本文件规定了菊芋低温裹包青贮的术语和定义、青贮技术、青贮饲料管理、青贮饲料质量判定以及开封利用。</w:t>
      </w:r>
    </w:p>
    <w:p w:rsidR="00AD446B" w:rsidRDefault="00172B4B">
      <w:pPr>
        <w:pStyle w:val="afffff5"/>
        <w:ind w:firstLine="420"/>
      </w:pPr>
      <w:r>
        <w:rPr>
          <w:rFonts w:hint="eastAsia"/>
        </w:rPr>
        <w:t>本文件适用于菊芋在低温（</w:t>
      </w:r>
      <w:r>
        <w:rPr>
          <w:rFonts w:cs="宋体" w:hint="eastAsia"/>
          <w:szCs w:val="21"/>
        </w:rPr>
        <w:t>0</w:t>
      </w:r>
      <w:r>
        <w:rPr>
          <w:rFonts w:cs="宋体" w:hint="eastAsia"/>
          <w:szCs w:val="21"/>
        </w:rPr>
        <w:t>℃</w:t>
      </w:r>
      <w:r>
        <w:rPr>
          <w:rFonts w:cs="宋体" w:hint="eastAsia"/>
          <w:szCs w:val="21"/>
        </w:rPr>
        <w:t>~10</w:t>
      </w:r>
      <w:r>
        <w:rPr>
          <w:rFonts w:cs="宋体" w:hint="eastAsia"/>
          <w:szCs w:val="21"/>
        </w:rPr>
        <w:t>℃</w:t>
      </w:r>
      <w:r>
        <w:rPr>
          <w:rFonts w:hint="eastAsia"/>
        </w:rPr>
        <w:t>）条件下的裹包青贮。</w:t>
      </w:r>
    </w:p>
    <w:p w:rsidR="00AD446B" w:rsidRDefault="00172B4B" w:rsidP="00973D97">
      <w:pPr>
        <w:pStyle w:val="affc"/>
        <w:spacing w:before="240" w:after="240"/>
      </w:pPr>
      <w:bookmarkStart w:id="38" w:name="_Toc26986772"/>
      <w:bookmarkStart w:id="39" w:name="_Toc26986531"/>
      <w:bookmarkStart w:id="40" w:name="_Toc30719"/>
      <w:bookmarkStart w:id="41" w:name="_Toc242435713"/>
      <w:bookmarkStart w:id="42" w:name="_Toc97192965"/>
      <w:bookmarkStart w:id="43" w:name="_Toc26718931"/>
      <w:r>
        <w:rPr>
          <w:rFonts w:hint="eastAsia"/>
        </w:rPr>
        <w:t>规范性引用文件</w:t>
      </w:r>
      <w:bookmarkEnd w:id="33"/>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DCEC3ED0ACA64AF396984D5A2DE660F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AD446B" w:rsidRDefault="00172B4B">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D446B" w:rsidRDefault="00172B4B">
      <w:pPr>
        <w:pStyle w:val="afffff5"/>
        <w:ind w:firstLine="420"/>
      </w:pPr>
      <w:r>
        <w:rPr>
          <w:rFonts w:hint="eastAsia"/>
        </w:rPr>
        <w:t xml:space="preserve">GB 13078  </w:t>
      </w:r>
      <w:r>
        <w:rPr>
          <w:rFonts w:hint="eastAsia"/>
        </w:rPr>
        <w:t>饲料卫生标准</w:t>
      </w:r>
    </w:p>
    <w:p w:rsidR="00AD446B" w:rsidRDefault="00172B4B">
      <w:pPr>
        <w:pStyle w:val="afffff5"/>
        <w:ind w:firstLine="420"/>
      </w:pPr>
      <w:r>
        <w:rPr>
          <w:rFonts w:hint="eastAsia"/>
        </w:rPr>
        <w:t xml:space="preserve">GB/T 10468  </w:t>
      </w:r>
      <w:r>
        <w:rPr>
          <w:rFonts w:hint="eastAsia"/>
        </w:rPr>
        <w:t>水果和蔬菜产品</w:t>
      </w:r>
      <w:r>
        <w:rPr>
          <w:rFonts w:hint="eastAsia"/>
        </w:rPr>
        <w:t>pH</w:t>
      </w:r>
      <w:r>
        <w:rPr>
          <w:rFonts w:hint="eastAsia"/>
        </w:rPr>
        <w:t>值的测定方法</w:t>
      </w:r>
    </w:p>
    <w:p w:rsidR="00AD446B" w:rsidRDefault="00172B4B">
      <w:pPr>
        <w:pStyle w:val="afffff5"/>
        <w:ind w:firstLine="420"/>
      </w:pPr>
      <w:r>
        <w:rPr>
          <w:rFonts w:hint="eastAsia"/>
        </w:rPr>
        <w:t xml:space="preserve">GB/T 14699  </w:t>
      </w:r>
      <w:r>
        <w:rPr>
          <w:rFonts w:hint="eastAsia"/>
        </w:rPr>
        <w:t>饲料</w:t>
      </w:r>
      <w:r>
        <w:rPr>
          <w:rFonts w:hint="eastAsia"/>
        </w:rPr>
        <w:t xml:space="preserve"> </w:t>
      </w:r>
      <w:r>
        <w:rPr>
          <w:rFonts w:hint="eastAsia"/>
        </w:rPr>
        <w:t>采样</w:t>
      </w:r>
    </w:p>
    <w:p w:rsidR="00AD446B" w:rsidRDefault="00172B4B">
      <w:pPr>
        <w:pStyle w:val="afffff5"/>
        <w:ind w:firstLine="420"/>
      </w:pPr>
      <w:r>
        <w:rPr>
          <w:rFonts w:hint="eastAsia"/>
        </w:rPr>
        <w:t xml:space="preserve">GB/T 40935  </w:t>
      </w:r>
      <w:r>
        <w:rPr>
          <w:rFonts w:hint="eastAsia"/>
        </w:rPr>
        <w:t>青贮牧草膜</w:t>
      </w:r>
    </w:p>
    <w:p w:rsidR="00AD446B" w:rsidRDefault="00172B4B">
      <w:pPr>
        <w:pStyle w:val="afffff5"/>
        <w:ind w:firstLine="420"/>
      </w:pPr>
      <w:r>
        <w:rPr>
          <w:rFonts w:hint="eastAsia"/>
        </w:rPr>
        <w:t xml:space="preserve">NY/T 1444  </w:t>
      </w:r>
      <w:r>
        <w:rPr>
          <w:rFonts w:hint="eastAsia"/>
        </w:rPr>
        <w:t>微生物饲料添加剂技术通则</w:t>
      </w:r>
    </w:p>
    <w:p w:rsidR="00AD446B" w:rsidRDefault="00172B4B" w:rsidP="00973D97">
      <w:pPr>
        <w:pStyle w:val="affc"/>
        <w:spacing w:before="240" w:after="240"/>
      </w:pPr>
      <w:bookmarkStart w:id="44" w:name="_Toc97192966"/>
      <w:bookmarkStart w:id="45" w:name="_Toc242435714"/>
      <w:bookmarkStart w:id="46" w:name="_Toc31515"/>
      <w:r>
        <w:rPr>
          <w:rFonts w:hint="eastAsia"/>
        </w:rPr>
        <w:t>术语和定义</w:t>
      </w:r>
      <w:bookmarkEnd w:id="44"/>
      <w:bookmarkEnd w:id="45"/>
      <w:bookmarkEnd w:id="46"/>
    </w:p>
    <w:bookmarkStart w:id="47" w:name="_Toc26986532"/>
    <w:bookmarkEnd w:id="47"/>
    <w:p w:rsidR="00AD446B" w:rsidRDefault="007477DE">
      <w:pPr>
        <w:pStyle w:val="afffff5"/>
        <w:ind w:firstLine="420"/>
      </w:pPr>
      <w:sdt>
        <w:sdtPr>
          <w:id w:val="-1909835108"/>
          <w:placeholder>
            <w:docPart w:val="8CD836C8897F47E1B8699EAD6FBC0D18"/>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r w:rsidR="00172B4B">
            <w:t>下列术语和定义适用于本文件。</w:t>
          </w:r>
        </w:sdtContent>
      </w:sdt>
    </w:p>
    <w:p w:rsidR="00AD446B" w:rsidRDefault="00172B4B">
      <w:pPr>
        <w:pStyle w:val="afffffffffff4"/>
        <w:ind w:left="420" w:hangingChars="200" w:hanging="420"/>
        <w:rPr>
          <w:rFonts w:ascii="黑体" w:eastAsia="黑体" w:hAnsi="黑体"/>
        </w:rPr>
      </w:pPr>
      <w:bookmarkStart w:id="48" w:name="_Toc242435717"/>
      <w:r>
        <w:rPr>
          <w:rFonts w:ascii="黑体" w:eastAsia="黑体" w:hAnsi="黑体"/>
        </w:rPr>
        <w:br/>
      </w:r>
      <w:r>
        <w:rPr>
          <w:rFonts w:ascii="黑体" w:eastAsia="黑体" w:hAnsi="黑体" w:hint="eastAsia"/>
        </w:rPr>
        <w:t>菊芋青饲料</w:t>
      </w:r>
      <w:bookmarkEnd w:id="48"/>
    </w:p>
    <w:p w:rsidR="00AD446B" w:rsidRDefault="00172B4B">
      <w:pPr>
        <w:pStyle w:val="afffff5"/>
        <w:ind w:firstLine="420"/>
      </w:pPr>
      <w:r>
        <w:rPr>
          <w:rFonts w:cs="宋体" w:hint="eastAsia"/>
          <w:szCs w:val="21"/>
        </w:rPr>
        <w:t>以菊芋地上部分为主要原料，适于青贮利用的饲料。</w:t>
      </w:r>
    </w:p>
    <w:p w:rsidR="00AD446B" w:rsidRDefault="00172B4B" w:rsidP="00973D97">
      <w:pPr>
        <w:pStyle w:val="affc"/>
        <w:spacing w:before="240" w:after="240"/>
      </w:pPr>
      <w:bookmarkStart w:id="49" w:name="_Toc9539"/>
      <w:r>
        <w:rPr>
          <w:rFonts w:hint="eastAsia"/>
        </w:rPr>
        <w:t>青贮技术</w:t>
      </w:r>
      <w:bookmarkEnd w:id="49"/>
    </w:p>
    <w:p w:rsidR="00AD446B" w:rsidRDefault="00172B4B">
      <w:pPr>
        <w:pStyle w:val="affd"/>
        <w:spacing w:before="120" w:after="120"/>
      </w:pPr>
      <w:bookmarkStart w:id="50" w:name="_Toc13124"/>
      <w:bookmarkStart w:id="51" w:name="_Toc242435722"/>
      <w:r>
        <w:rPr>
          <w:rFonts w:hint="eastAsia"/>
        </w:rPr>
        <w:t>作业流程</w:t>
      </w:r>
      <w:bookmarkEnd w:id="50"/>
    </w:p>
    <w:p w:rsidR="00AD446B" w:rsidRDefault="00172B4B">
      <w:pPr>
        <w:pStyle w:val="afffff5"/>
        <w:ind w:firstLine="420"/>
      </w:pPr>
      <w:r>
        <w:rPr>
          <w:rFonts w:hint="eastAsia"/>
        </w:rPr>
        <w:t>低温裹包青贮作业流程按图</w:t>
      </w:r>
      <w:r>
        <w:rPr>
          <w:rFonts w:hint="eastAsia"/>
        </w:rPr>
        <w:t>1</w:t>
      </w:r>
      <w:r>
        <w:rPr>
          <w:rFonts w:hint="eastAsia"/>
        </w:rPr>
        <w:t>进行：</w:t>
      </w:r>
    </w:p>
    <w:p w:rsidR="00AD446B" w:rsidRDefault="00172B4B">
      <w:pPr>
        <w:pStyle w:val="afffff5"/>
        <w:ind w:firstLineChars="0" w:firstLine="0"/>
      </w:pPr>
      <w:r>
        <w:rPr>
          <w:rFonts w:hint="eastAsia"/>
          <w:noProof/>
        </w:rPr>
        <w:drawing>
          <wp:inline distT="0" distB="0" distL="114300" distR="114300" wp14:anchorId="09A39739" wp14:editId="63ED13A3">
            <wp:extent cx="5930900" cy="1279525"/>
            <wp:effectExtent l="0" t="0" r="12700" b="635"/>
            <wp:docPr id="2" name="图片 2" descr="ChatGPT Image 2026年10月11日 15_1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hatGPT Image 2026年10月11日 15_11_04"/>
                    <pic:cNvPicPr>
                      <a:picLocks noChangeAspect="1"/>
                    </pic:cNvPicPr>
                  </pic:nvPicPr>
                  <pic:blipFill>
                    <a:blip r:embed="rId18"/>
                    <a:srcRect t="30692" b="38487"/>
                    <a:stretch>
                      <a:fillRect/>
                    </a:stretch>
                  </pic:blipFill>
                  <pic:spPr>
                    <a:xfrm>
                      <a:off x="0" y="0"/>
                      <a:ext cx="5930900" cy="1279525"/>
                    </a:xfrm>
                    <a:prstGeom prst="rect">
                      <a:avLst/>
                    </a:prstGeom>
                  </pic:spPr>
                </pic:pic>
              </a:graphicData>
            </a:graphic>
          </wp:inline>
        </w:drawing>
      </w:r>
    </w:p>
    <w:p w:rsidR="00AD446B" w:rsidRDefault="00172B4B">
      <w:pPr>
        <w:pStyle w:val="afd"/>
        <w:spacing w:before="120" w:after="120"/>
      </w:pPr>
      <w:r>
        <w:rPr>
          <w:rFonts w:hint="eastAsia"/>
        </w:rPr>
        <w:t xml:space="preserve"> 青贮作业流程</w:t>
      </w:r>
    </w:p>
    <w:p w:rsidR="00AD446B" w:rsidRDefault="00172B4B">
      <w:pPr>
        <w:pStyle w:val="affd"/>
        <w:spacing w:before="120" w:after="120"/>
      </w:pPr>
      <w:bookmarkStart w:id="52" w:name="_Toc12036"/>
      <w:r>
        <w:rPr>
          <w:rFonts w:hint="eastAsia"/>
        </w:rPr>
        <w:t>青贮前准备</w:t>
      </w:r>
      <w:bookmarkEnd w:id="52"/>
    </w:p>
    <w:p w:rsidR="00AD446B" w:rsidRDefault="00172B4B">
      <w:pPr>
        <w:pStyle w:val="affe"/>
        <w:spacing w:before="120" w:after="120"/>
      </w:pPr>
      <w:r>
        <w:rPr>
          <w:rFonts w:hint="eastAsia"/>
        </w:rPr>
        <w:t>场地和设备</w:t>
      </w:r>
    </w:p>
    <w:p w:rsidR="00AD446B" w:rsidRDefault="00172B4B">
      <w:pPr>
        <w:pStyle w:val="afffff5"/>
        <w:ind w:firstLine="420"/>
      </w:pPr>
      <w:r>
        <w:rPr>
          <w:rFonts w:cs="宋体" w:hint="eastAsia"/>
          <w:szCs w:val="21"/>
        </w:rPr>
        <w:t>青贮场地选择地势较高、排水良好、平整坚实、交通便利、便于机械作业的区域，具备防积水、防穿刺和易转运的条件。</w:t>
      </w:r>
    </w:p>
    <w:p w:rsidR="00AD446B" w:rsidRDefault="00172B4B">
      <w:pPr>
        <w:pStyle w:val="afffff5"/>
        <w:ind w:firstLine="420"/>
      </w:pPr>
      <w:r>
        <w:rPr>
          <w:rFonts w:cs="宋体" w:hint="eastAsia"/>
          <w:szCs w:val="21"/>
        </w:rPr>
        <w:t>设备配备</w:t>
      </w:r>
      <w:r>
        <w:rPr>
          <w:rFonts w:hint="eastAsia"/>
        </w:rPr>
        <w:t>收获机、切碎机、打捆裹包机、喷洒机等</w:t>
      </w:r>
      <w:r>
        <w:rPr>
          <w:rFonts w:cs="宋体" w:hint="eastAsia"/>
          <w:szCs w:val="21"/>
        </w:rPr>
        <w:t>，并在作业前进行检查和调试，</w:t>
      </w:r>
      <w:r>
        <w:rPr>
          <w:rFonts w:hint="eastAsia"/>
        </w:rPr>
        <w:t>确保刀具、液压、</w:t>
      </w:r>
      <w:proofErr w:type="gramStart"/>
      <w:r>
        <w:rPr>
          <w:rFonts w:hint="eastAsia"/>
        </w:rPr>
        <w:t>裹膜和</w:t>
      </w:r>
      <w:proofErr w:type="gramEnd"/>
      <w:r>
        <w:rPr>
          <w:rFonts w:hint="eastAsia"/>
        </w:rPr>
        <w:t>喷液系统运行正常。</w:t>
      </w:r>
    </w:p>
    <w:p w:rsidR="00AD446B" w:rsidRDefault="00172B4B">
      <w:pPr>
        <w:pStyle w:val="affe"/>
        <w:spacing w:before="120" w:after="120"/>
      </w:pPr>
      <w:r>
        <w:rPr>
          <w:rFonts w:hint="eastAsia"/>
        </w:rPr>
        <w:t>原料制作</w:t>
      </w:r>
    </w:p>
    <w:p w:rsidR="00AD446B" w:rsidRDefault="00172B4B">
      <w:pPr>
        <w:pStyle w:val="afff"/>
        <w:spacing w:before="120" w:after="120"/>
      </w:pPr>
      <w:r>
        <w:rPr>
          <w:rFonts w:hint="eastAsia"/>
        </w:rPr>
        <w:lastRenderedPageBreak/>
        <w:t>收获</w:t>
      </w:r>
    </w:p>
    <w:p w:rsidR="00AD446B" w:rsidRDefault="00172B4B">
      <w:pPr>
        <w:pStyle w:val="afffff5"/>
        <w:ind w:firstLine="420"/>
        <w:rPr>
          <w:color w:val="000000" w:themeColor="text1"/>
        </w:rPr>
      </w:pPr>
      <w:r>
        <w:rPr>
          <w:rFonts w:hint="eastAsia"/>
          <w:color w:val="000000" w:themeColor="text1"/>
        </w:rPr>
        <w:t>菊芋青饲料选用现蕾末期至初花期收获的材料。</w:t>
      </w:r>
    </w:p>
    <w:p w:rsidR="00AD446B" w:rsidRDefault="00172B4B">
      <w:pPr>
        <w:pStyle w:val="afff"/>
        <w:spacing w:before="120" w:after="120"/>
        <w:rPr>
          <w:color w:val="000000" w:themeColor="text1"/>
        </w:rPr>
      </w:pPr>
      <w:r>
        <w:rPr>
          <w:rFonts w:hint="eastAsia"/>
          <w:color w:val="000000" w:themeColor="text1"/>
        </w:rPr>
        <w:t>调控及切碎</w:t>
      </w:r>
    </w:p>
    <w:p w:rsidR="00AD446B" w:rsidRDefault="00172B4B">
      <w:pPr>
        <w:pStyle w:val="afffff5"/>
        <w:ind w:firstLine="420"/>
        <w:rPr>
          <w:color w:val="000000" w:themeColor="text1"/>
        </w:rPr>
      </w:pPr>
      <w:r>
        <w:rPr>
          <w:rFonts w:hint="eastAsia"/>
          <w:color w:val="000000" w:themeColor="text1"/>
        </w:rPr>
        <w:t>菊芋青饲料应新鲜、无霉变、无腐烂、无明显泥沙及异物污染。</w:t>
      </w:r>
      <w:r>
        <w:rPr>
          <w:color w:val="000000" w:themeColor="text1"/>
        </w:rPr>
        <w:t>含水率为</w:t>
      </w:r>
      <w:r>
        <w:rPr>
          <w:color w:val="000000" w:themeColor="text1"/>
        </w:rPr>
        <w:t>60%</w:t>
      </w:r>
      <w:r>
        <w:rPr>
          <w:color w:val="000000" w:themeColor="text1"/>
        </w:rPr>
        <w:t>～</w:t>
      </w:r>
      <w:r>
        <w:rPr>
          <w:color w:val="000000" w:themeColor="text1"/>
        </w:rPr>
        <w:t>70%</w:t>
      </w:r>
      <w:r>
        <w:rPr>
          <w:rFonts w:hint="eastAsia"/>
          <w:color w:val="000000" w:themeColor="text1"/>
        </w:rPr>
        <w:t>，不满足时应及时调控，且辅料添加量不超过</w:t>
      </w:r>
      <w:r>
        <w:rPr>
          <w:rFonts w:hint="eastAsia"/>
          <w:color w:val="000000" w:themeColor="text1"/>
        </w:rPr>
        <w:t>35%</w:t>
      </w:r>
      <w:r>
        <w:rPr>
          <w:rFonts w:hint="eastAsia"/>
          <w:color w:val="000000" w:themeColor="text1"/>
        </w:rPr>
        <w:t>：</w:t>
      </w:r>
    </w:p>
    <w:p w:rsidR="00AD446B" w:rsidRDefault="00172B4B">
      <w:pPr>
        <w:pStyle w:val="afffff5"/>
        <w:ind w:firstLine="420"/>
        <w:rPr>
          <w:color w:val="000000" w:themeColor="text1"/>
        </w:rPr>
      </w:pPr>
      <w:r>
        <w:rPr>
          <w:rFonts w:hint="eastAsia"/>
          <w:color w:val="000000" w:themeColor="text1"/>
        </w:rPr>
        <w:t>a )</w:t>
      </w:r>
      <w:r>
        <w:rPr>
          <w:rFonts w:hint="eastAsia"/>
          <w:color w:val="000000" w:themeColor="text1"/>
        </w:rPr>
        <w:t>高于</w:t>
      </w:r>
      <w:r>
        <w:rPr>
          <w:rFonts w:hint="eastAsia"/>
          <w:color w:val="000000" w:themeColor="text1"/>
        </w:rPr>
        <w:t>70%</w:t>
      </w:r>
      <w:r>
        <w:rPr>
          <w:rFonts w:hint="eastAsia"/>
          <w:color w:val="000000" w:themeColor="text1"/>
        </w:rPr>
        <w:t>时，宜适当晾晒或搭配干性辅料（如制干燕麦草、披碱草等）；</w:t>
      </w:r>
    </w:p>
    <w:p w:rsidR="00AD446B" w:rsidRDefault="00172B4B">
      <w:pPr>
        <w:pStyle w:val="afffff5"/>
        <w:ind w:firstLine="420"/>
        <w:rPr>
          <w:color w:val="000000" w:themeColor="text1"/>
        </w:rPr>
      </w:pPr>
      <w:r>
        <w:rPr>
          <w:rFonts w:hint="eastAsia"/>
          <w:color w:val="000000" w:themeColor="text1"/>
        </w:rPr>
        <w:t>b )</w:t>
      </w:r>
      <w:r>
        <w:rPr>
          <w:rFonts w:hint="eastAsia"/>
          <w:color w:val="000000" w:themeColor="text1"/>
        </w:rPr>
        <w:t>含水率低于</w:t>
      </w:r>
      <w:r>
        <w:rPr>
          <w:rFonts w:hint="eastAsia"/>
          <w:color w:val="000000" w:themeColor="text1"/>
        </w:rPr>
        <w:t>60%</w:t>
      </w:r>
      <w:r>
        <w:rPr>
          <w:rFonts w:hint="eastAsia"/>
          <w:color w:val="000000" w:themeColor="text1"/>
        </w:rPr>
        <w:t>时，宜均匀补水或与含水率较高的青绿饲料（如鲜嫩玉米茎叶等）混合调制。</w:t>
      </w:r>
    </w:p>
    <w:p w:rsidR="00AD446B" w:rsidRDefault="00172B4B">
      <w:pPr>
        <w:pStyle w:val="afffff5"/>
        <w:ind w:firstLine="420"/>
        <w:rPr>
          <w:color w:val="000000" w:themeColor="text1"/>
        </w:rPr>
      </w:pPr>
      <w:r>
        <w:rPr>
          <w:rFonts w:hint="eastAsia"/>
          <w:color w:val="000000" w:themeColor="text1"/>
        </w:rPr>
        <w:t>菊芋青饲料</w:t>
      </w:r>
      <w:r>
        <w:rPr>
          <w:color w:val="000000" w:themeColor="text1"/>
        </w:rPr>
        <w:t>切碎长度</w:t>
      </w:r>
      <w:r>
        <w:rPr>
          <w:rFonts w:hint="eastAsia"/>
          <w:color w:val="000000" w:themeColor="text1"/>
        </w:rPr>
        <w:t>为</w:t>
      </w:r>
      <w:r>
        <w:rPr>
          <w:color w:val="000000" w:themeColor="text1"/>
        </w:rPr>
        <w:t>1 cm</w:t>
      </w:r>
      <w:r>
        <w:rPr>
          <w:color w:val="000000" w:themeColor="text1"/>
        </w:rPr>
        <w:t>～</w:t>
      </w:r>
      <w:r>
        <w:rPr>
          <w:color w:val="000000" w:themeColor="text1"/>
        </w:rPr>
        <w:t>2 cm</w:t>
      </w:r>
      <w:r>
        <w:rPr>
          <w:rFonts w:hint="eastAsia"/>
          <w:color w:val="000000" w:themeColor="text1"/>
        </w:rPr>
        <w:t>。</w:t>
      </w:r>
    </w:p>
    <w:p w:rsidR="00AD446B" w:rsidRDefault="00172B4B">
      <w:pPr>
        <w:pStyle w:val="affd"/>
        <w:spacing w:before="120" w:after="120"/>
        <w:rPr>
          <w:color w:val="000000" w:themeColor="text1"/>
        </w:rPr>
      </w:pPr>
      <w:bookmarkStart w:id="53" w:name="_Toc10469"/>
      <w:r>
        <w:rPr>
          <w:rFonts w:hint="eastAsia"/>
          <w:color w:val="000000" w:themeColor="text1"/>
        </w:rPr>
        <w:t>添加剂使用</w:t>
      </w:r>
      <w:bookmarkEnd w:id="53"/>
    </w:p>
    <w:p w:rsidR="00AD446B" w:rsidRDefault="00172B4B">
      <w:pPr>
        <w:pStyle w:val="affe"/>
        <w:spacing w:before="120" w:after="120"/>
        <w:rPr>
          <w:color w:val="000000" w:themeColor="text1"/>
        </w:rPr>
      </w:pPr>
      <w:r>
        <w:rPr>
          <w:rFonts w:hint="eastAsia"/>
          <w:color w:val="000000" w:themeColor="text1"/>
        </w:rPr>
        <w:t>添加剂选择</w:t>
      </w:r>
    </w:p>
    <w:p w:rsidR="00AD446B" w:rsidRDefault="00172B4B">
      <w:pPr>
        <w:pStyle w:val="afffff5"/>
        <w:ind w:firstLine="420"/>
      </w:pPr>
      <w:r>
        <w:rPr>
          <w:rFonts w:hint="eastAsia"/>
        </w:rPr>
        <w:t>按照</w:t>
      </w:r>
      <w:r>
        <w:rPr>
          <w:rFonts w:hint="eastAsia"/>
        </w:rPr>
        <w:t>NY/T 1444</w:t>
      </w:r>
      <w:r>
        <w:rPr>
          <w:rFonts w:hint="eastAsia"/>
        </w:rPr>
        <w:t>的要求选择能耐受</w:t>
      </w:r>
      <w:r>
        <w:rPr>
          <w:rFonts w:cs="宋体" w:hint="eastAsia"/>
          <w:szCs w:val="21"/>
        </w:rPr>
        <w:t>0</w:t>
      </w:r>
      <w:r>
        <w:rPr>
          <w:rFonts w:cs="宋体" w:hint="eastAsia"/>
          <w:szCs w:val="21"/>
        </w:rPr>
        <w:t>℃</w:t>
      </w:r>
      <w:r>
        <w:rPr>
          <w:rFonts w:cs="宋体" w:hint="eastAsia"/>
          <w:szCs w:val="21"/>
        </w:rPr>
        <w:t>~10</w:t>
      </w:r>
      <w:r>
        <w:rPr>
          <w:rFonts w:cs="宋体" w:hint="eastAsia"/>
          <w:szCs w:val="21"/>
        </w:rPr>
        <w:t>℃</w:t>
      </w:r>
      <w:r>
        <w:rPr>
          <w:rFonts w:hint="eastAsia"/>
        </w:rPr>
        <w:t>的乳酸菌添加剂。</w:t>
      </w:r>
    </w:p>
    <w:p w:rsidR="00AD446B" w:rsidRDefault="00172B4B">
      <w:pPr>
        <w:pStyle w:val="affe"/>
        <w:spacing w:before="120" w:after="120"/>
      </w:pPr>
      <w:r>
        <w:rPr>
          <w:rFonts w:hint="eastAsia"/>
        </w:rPr>
        <w:t>添加剂用量</w:t>
      </w:r>
    </w:p>
    <w:p w:rsidR="00AD446B" w:rsidRDefault="00172B4B">
      <w:pPr>
        <w:pStyle w:val="afffff5"/>
        <w:ind w:firstLine="420"/>
      </w:pPr>
      <w:r>
        <w:rPr>
          <w:rFonts w:hint="eastAsia"/>
        </w:rPr>
        <w:t>乳酸菌添加剂用量应按产品说明书执行，每公斤鲜</w:t>
      </w:r>
      <w:proofErr w:type="gramStart"/>
      <w:r>
        <w:rPr>
          <w:rFonts w:hint="eastAsia"/>
        </w:rPr>
        <w:t>料有效</w:t>
      </w:r>
      <w:proofErr w:type="gramEnd"/>
      <w:r>
        <w:rPr>
          <w:rFonts w:hint="eastAsia"/>
        </w:rPr>
        <w:t>活菌数不低于</w:t>
      </w:r>
      <w:r>
        <w:rPr>
          <w:rFonts w:hint="eastAsia"/>
        </w:rPr>
        <w:t>1.0</w:t>
      </w:r>
      <w:r>
        <w:rPr>
          <w:rFonts w:hint="eastAsia"/>
        </w:rPr>
        <w:t>×</w:t>
      </w:r>
      <w:r>
        <w:rPr>
          <w:rFonts w:hint="eastAsia"/>
        </w:rPr>
        <w:t>10</w:t>
      </w:r>
      <w:r>
        <w:rPr>
          <w:rFonts w:hint="eastAsia"/>
          <w:vertAlign w:val="superscript"/>
        </w:rPr>
        <w:t>8</w:t>
      </w:r>
      <w:r>
        <w:rPr>
          <w:rFonts w:hint="eastAsia"/>
        </w:rPr>
        <w:t xml:space="preserve"> CFU/kg</w:t>
      </w:r>
      <w:r>
        <w:rPr>
          <w:rFonts w:hint="eastAsia"/>
        </w:rPr>
        <w:t>。</w:t>
      </w:r>
    </w:p>
    <w:p w:rsidR="00AD446B" w:rsidRDefault="00172B4B">
      <w:pPr>
        <w:pStyle w:val="affd"/>
        <w:spacing w:before="120" w:after="120"/>
      </w:pPr>
      <w:bookmarkStart w:id="54" w:name="_Toc6286"/>
      <w:r>
        <w:rPr>
          <w:rFonts w:hint="eastAsia"/>
        </w:rPr>
        <w:t>混拌</w:t>
      </w:r>
      <w:bookmarkEnd w:id="54"/>
    </w:p>
    <w:p w:rsidR="00AD446B" w:rsidRDefault="00172B4B">
      <w:pPr>
        <w:pStyle w:val="afffff5"/>
        <w:ind w:firstLine="420"/>
      </w:pPr>
      <w:r>
        <w:rPr>
          <w:rFonts w:hint="eastAsia"/>
          <w:color w:val="000000" w:themeColor="text1"/>
        </w:rPr>
        <w:t>菊芋青饲料</w:t>
      </w:r>
      <w:r>
        <w:rPr>
          <w:rFonts w:hint="eastAsia"/>
        </w:rPr>
        <w:t>与添加剂</w:t>
      </w:r>
      <w:proofErr w:type="gramStart"/>
      <w:r>
        <w:rPr>
          <w:rFonts w:hint="eastAsia"/>
        </w:rPr>
        <w:t>混拌应均匀</w:t>
      </w:r>
      <w:proofErr w:type="gramEnd"/>
      <w:r>
        <w:rPr>
          <w:rFonts w:hint="eastAsia"/>
        </w:rPr>
        <w:t>，</w:t>
      </w:r>
      <w:proofErr w:type="gramStart"/>
      <w:r>
        <w:rPr>
          <w:rFonts w:hint="eastAsia"/>
        </w:rPr>
        <w:t>混拌与打捆</w:t>
      </w:r>
      <w:proofErr w:type="gramEnd"/>
      <w:r>
        <w:rPr>
          <w:rFonts w:hint="eastAsia"/>
        </w:rPr>
        <w:t>作业同步进行。</w:t>
      </w:r>
    </w:p>
    <w:p w:rsidR="00AD446B" w:rsidRDefault="00172B4B">
      <w:pPr>
        <w:pStyle w:val="affd"/>
        <w:spacing w:before="120" w:after="120"/>
      </w:pPr>
      <w:bookmarkStart w:id="55" w:name="_Toc929"/>
      <w:bookmarkEnd w:id="51"/>
      <w:r>
        <w:rPr>
          <w:rFonts w:hint="eastAsia"/>
        </w:rPr>
        <w:t>打捆压实</w:t>
      </w:r>
      <w:bookmarkEnd w:id="55"/>
    </w:p>
    <w:p w:rsidR="00AD446B" w:rsidRDefault="00172B4B">
      <w:pPr>
        <w:pStyle w:val="afffff5"/>
        <w:ind w:firstLine="420"/>
      </w:pPr>
      <w:r>
        <w:rPr>
          <w:rFonts w:hint="eastAsia"/>
        </w:rPr>
        <w:t>采用圆草捆打捆裹包设备，草捆密度不低于</w:t>
      </w:r>
      <w:r>
        <w:rPr>
          <w:rFonts w:hint="eastAsia"/>
        </w:rPr>
        <w:t>500 kg/m</w:t>
      </w:r>
      <w:r>
        <w:rPr>
          <w:rFonts w:hint="eastAsia"/>
        </w:rPr>
        <w:t>³。</w:t>
      </w:r>
    </w:p>
    <w:p w:rsidR="00AD446B" w:rsidRDefault="00172B4B">
      <w:pPr>
        <w:pStyle w:val="affd"/>
        <w:spacing w:before="120" w:after="120"/>
      </w:pPr>
      <w:bookmarkStart w:id="56" w:name="_Toc24178"/>
      <w:r>
        <w:rPr>
          <w:rFonts w:hint="eastAsia"/>
        </w:rPr>
        <w:t>裹包密封</w:t>
      </w:r>
      <w:bookmarkEnd w:id="56"/>
    </w:p>
    <w:p w:rsidR="00AD446B" w:rsidRDefault="00172B4B">
      <w:pPr>
        <w:pStyle w:val="afffff5"/>
        <w:ind w:firstLine="420"/>
        <w:rPr>
          <w:rFonts w:cs="宋体"/>
          <w:szCs w:val="21"/>
        </w:rPr>
      </w:pPr>
      <w:r>
        <w:rPr>
          <w:rFonts w:hint="eastAsia"/>
        </w:rPr>
        <w:t>裹包膜按照</w:t>
      </w:r>
      <w:r>
        <w:rPr>
          <w:rFonts w:hint="eastAsia"/>
        </w:rPr>
        <w:t>GB/T 40935</w:t>
      </w:r>
      <w:r>
        <w:rPr>
          <w:rFonts w:hint="eastAsia"/>
        </w:rPr>
        <w:t>选择，裹包时包裹层数不少于</w:t>
      </w:r>
      <w:r>
        <w:rPr>
          <w:rFonts w:hint="eastAsia"/>
        </w:rPr>
        <w:t>6</w:t>
      </w:r>
      <w:r>
        <w:rPr>
          <w:rFonts w:hint="eastAsia"/>
        </w:rPr>
        <w:t>层，确保均匀、严密、</w:t>
      </w:r>
      <w:proofErr w:type="gramStart"/>
      <w:r>
        <w:rPr>
          <w:rFonts w:hint="eastAsia"/>
        </w:rPr>
        <w:t>不</w:t>
      </w:r>
      <w:proofErr w:type="gramEnd"/>
      <w:r>
        <w:rPr>
          <w:rFonts w:hint="eastAsia"/>
        </w:rPr>
        <w:t>破损。发现破损应立即使用专用胶带修补。</w:t>
      </w:r>
    </w:p>
    <w:p w:rsidR="00AD446B" w:rsidRDefault="00172B4B">
      <w:pPr>
        <w:pStyle w:val="affd"/>
        <w:spacing w:before="120" w:after="120"/>
      </w:pPr>
      <w:bookmarkStart w:id="57" w:name="_Toc23378"/>
      <w:r>
        <w:rPr>
          <w:rFonts w:hint="eastAsia"/>
        </w:rPr>
        <w:t>发酵</w:t>
      </w:r>
      <w:bookmarkEnd w:id="57"/>
    </w:p>
    <w:p w:rsidR="00AD446B" w:rsidRDefault="00172B4B">
      <w:pPr>
        <w:pStyle w:val="afffff5"/>
        <w:ind w:firstLine="420"/>
      </w:pPr>
      <w:r>
        <w:rPr>
          <w:rFonts w:hint="eastAsia"/>
        </w:rPr>
        <w:t>裹包完成后发酵</w:t>
      </w:r>
      <w:r>
        <w:rPr>
          <w:rFonts w:hint="eastAsia"/>
        </w:rPr>
        <w:t>45 d~60 d</w:t>
      </w:r>
      <w:r>
        <w:rPr>
          <w:rFonts w:hint="eastAsia"/>
        </w:rPr>
        <w:t>。</w:t>
      </w:r>
    </w:p>
    <w:p w:rsidR="00AD446B" w:rsidRDefault="00172B4B" w:rsidP="00973D97">
      <w:pPr>
        <w:pStyle w:val="affc"/>
        <w:spacing w:before="240" w:after="240"/>
      </w:pPr>
      <w:bookmarkStart w:id="58" w:name="_Toc242435725"/>
      <w:bookmarkStart w:id="59" w:name="_Toc22632"/>
      <w:r>
        <w:rPr>
          <w:rFonts w:hint="eastAsia"/>
        </w:rPr>
        <w:t>青贮</w:t>
      </w:r>
      <w:bookmarkEnd w:id="58"/>
      <w:r>
        <w:rPr>
          <w:rFonts w:hint="eastAsia"/>
        </w:rPr>
        <w:t>饲料管理</w:t>
      </w:r>
      <w:bookmarkEnd w:id="59"/>
    </w:p>
    <w:p w:rsidR="00AD446B" w:rsidRDefault="00172B4B">
      <w:pPr>
        <w:pStyle w:val="afffff5"/>
        <w:ind w:firstLine="420"/>
      </w:pPr>
      <w:r>
        <w:rPr>
          <w:rFonts w:hint="eastAsia"/>
        </w:rPr>
        <w:t>青贮饲料贮存在避光直射的场所，期间定期检查裹包密封完整性，发现破损及时修补，确保密封良好。</w:t>
      </w:r>
    </w:p>
    <w:p w:rsidR="00AD446B" w:rsidRDefault="00172B4B" w:rsidP="00973D97">
      <w:pPr>
        <w:pStyle w:val="affc"/>
        <w:spacing w:before="240" w:after="240"/>
      </w:pPr>
      <w:bookmarkStart w:id="60" w:name="_Toc29427"/>
      <w:r>
        <w:rPr>
          <w:rFonts w:hint="eastAsia"/>
        </w:rPr>
        <w:t>青贮饲料质量判定</w:t>
      </w:r>
      <w:bookmarkEnd w:id="60"/>
    </w:p>
    <w:p w:rsidR="00AD446B" w:rsidRDefault="00172B4B">
      <w:pPr>
        <w:pStyle w:val="affd"/>
        <w:spacing w:before="120" w:after="120"/>
      </w:pPr>
      <w:bookmarkStart w:id="61" w:name="_Toc26398"/>
      <w:r>
        <w:rPr>
          <w:rFonts w:hint="eastAsia"/>
        </w:rPr>
        <w:t>判定时间</w:t>
      </w:r>
      <w:bookmarkEnd w:id="61"/>
    </w:p>
    <w:p w:rsidR="00AD446B" w:rsidRDefault="00172B4B">
      <w:pPr>
        <w:pStyle w:val="afffff5"/>
        <w:ind w:firstLine="420"/>
      </w:pPr>
      <w:r>
        <w:rPr>
          <w:rFonts w:hint="eastAsia"/>
        </w:rPr>
        <w:t>菊芋青贮饲料在发酵完成后进行质量判定。</w:t>
      </w:r>
    </w:p>
    <w:p w:rsidR="00AD446B" w:rsidRDefault="00172B4B">
      <w:pPr>
        <w:pStyle w:val="affd"/>
        <w:spacing w:before="120" w:after="120"/>
      </w:pPr>
      <w:bookmarkStart w:id="62" w:name="_Toc5037"/>
      <w:r>
        <w:rPr>
          <w:rFonts w:hint="eastAsia"/>
        </w:rPr>
        <w:t>抽样</w:t>
      </w:r>
      <w:bookmarkEnd w:id="62"/>
    </w:p>
    <w:p w:rsidR="00AD446B" w:rsidRDefault="00172B4B">
      <w:pPr>
        <w:pStyle w:val="afffff5"/>
        <w:ind w:firstLine="420"/>
      </w:pPr>
      <w:r>
        <w:rPr>
          <w:rFonts w:hint="eastAsia"/>
        </w:rPr>
        <w:t>菊芋青贮饲料抽样按照</w:t>
      </w:r>
      <w:r>
        <w:rPr>
          <w:rFonts w:hint="eastAsia"/>
        </w:rPr>
        <w:t>GB/T 14699</w:t>
      </w:r>
      <w:r>
        <w:rPr>
          <w:rFonts w:hint="eastAsia"/>
        </w:rPr>
        <w:t>执行。</w:t>
      </w:r>
    </w:p>
    <w:p w:rsidR="00AD446B" w:rsidRDefault="00172B4B">
      <w:pPr>
        <w:pStyle w:val="affd"/>
        <w:spacing w:before="120" w:after="120"/>
      </w:pPr>
      <w:bookmarkStart w:id="63" w:name="_Toc13693"/>
      <w:r>
        <w:rPr>
          <w:rFonts w:hint="eastAsia"/>
        </w:rPr>
        <w:t>质量判定</w:t>
      </w:r>
      <w:bookmarkEnd w:id="63"/>
    </w:p>
    <w:p w:rsidR="00AD446B" w:rsidRDefault="00172B4B">
      <w:pPr>
        <w:pStyle w:val="afffff5"/>
        <w:ind w:firstLine="420"/>
        <w:rPr>
          <w:color w:val="000000" w:themeColor="text1"/>
        </w:rPr>
      </w:pPr>
      <w:r>
        <w:rPr>
          <w:rFonts w:hint="eastAsia"/>
        </w:rPr>
        <w:t>菊芋青贮饲料开封后呈现黄绿色或浅绿色，具有明显清香酸味，</w:t>
      </w:r>
      <w:r>
        <w:rPr>
          <w:rFonts w:hint="eastAsia"/>
        </w:rPr>
        <w:t>pH</w:t>
      </w:r>
      <w:r>
        <w:rPr>
          <w:rFonts w:hint="eastAsia"/>
        </w:rPr>
        <w:t>为</w:t>
      </w:r>
      <w:r>
        <w:rPr>
          <w:rFonts w:hint="eastAsia"/>
        </w:rPr>
        <w:t>3.5</w:t>
      </w:r>
      <w:r>
        <w:rPr>
          <w:rFonts w:hint="eastAsia"/>
        </w:rPr>
        <w:t>～</w:t>
      </w:r>
      <w:r>
        <w:rPr>
          <w:rFonts w:hint="eastAsia"/>
        </w:rPr>
        <w:t>4.6</w:t>
      </w:r>
      <w:r>
        <w:rPr>
          <w:rFonts w:hint="eastAsia"/>
        </w:rPr>
        <w:t>（按</w:t>
      </w:r>
      <w:r>
        <w:rPr>
          <w:rFonts w:hint="eastAsia"/>
        </w:rPr>
        <w:t>GB/T 10468</w:t>
      </w:r>
      <w:r>
        <w:rPr>
          <w:rFonts w:hint="eastAsia"/>
        </w:rPr>
        <w:t>的规定检测）；必要时可进行品质检测，详见附录</w:t>
      </w:r>
      <w:r>
        <w:rPr>
          <w:rFonts w:hint="eastAsia"/>
        </w:rPr>
        <w:t>A</w:t>
      </w:r>
      <w:r>
        <w:rPr>
          <w:rFonts w:hint="eastAsia"/>
        </w:rPr>
        <w:t>。</w:t>
      </w:r>
    </w:p>
    <w:p w:rsidR="00AD446B" w:rsidRDefault="00172B4B">
      <w:pPr>
        <w:pStyle w:val="affd"/>
        <w:spacing w:before="120" w:after="120"/>
      </w:pPr>
      <w:bookmarkStart w:id="64" w:name="_Toc20868"/>
      <w:r>
        <w:rPr>
          <w:rFonts w:hint="eastAsia"/>
        </w:rPr>
        <w:t>卫生指标</w:t>
      </w:r>
      <w:bookmarkEnd w:id="64"/>
    </w:p>
    <w:p w:rsidR="00AD446B" w:rsidRDefault="00172B4B">
      <w:pPr>
        <w:pStyle w:val="afffff5"/>
        <w:ind w:firstLine="420"/>
      </w:pPr>
      <w:r>
        <w:rPr>
          <w:rFonts w:hint="eastAsia"/>
        </w:rPr>
        <w:t>菊芋青贮饲料卫生标准应符合</w:t>
      </w:r>
      <w:r>
        <w:rPr>
          <w:rFonts w:hint="eastAsia"/>
        </w:rPr>
        <w:t>GB 13078</w:t>
      </w:r>
      <w:r>
        <w:rPr>
          <w:rFonts w:hint="eastAsia"/>
        </w:rPr>
        <w:t>的规定。</w:t>
      </w:r>
    </w:p>
    <w:p w:rsidR="00AD446B" w:rsidRDefault="00172B4B" w:rsidP="00973D97">
      <w:pPr>
        <w:pStyle w:val="affc"/>
        <w:spacing w:before="240" w:after="240"/>
      </w:pPr>
      <w:bookmarkStart w:id="65" w:name="_Toc20791"/>
      <w:r>
        <w:rPr>
          <w:rFonts w:hint="eastAsia"/>
        </w:rPr>
        <w:lastRenderedPageBreak/>
        <w:t>开封利用</w:t>
      </w:r>
      <w:bookmarkEnd w:id="65"/>
    </w:p>
    <w:p w:rsidR="00AD446B" w:rsidRDefault="00172B4B">
      <w:pPr>
        <w:pStyle w:val="afffff5"/>
        <w:ind w:firstLine="420"/>
      </w:pPr>
      <w:r>
        <w:rPr>
          <w:rFonts w:hint="eastAsia"/>
        </w:rPr>
        <w:t>菊芋青贮饲料开封后在</w:t>
      </w:r>
      <w:r>
        <w:rPr>
          <w:rFonts w:hint="eastAsia"/>
        </w:rPr>
        <w:t>48 h</w:t>
      </w:r>
      <w:r>
        <w:rPr>
          <w:rFonts w:hint="eastAsia"/>
        </w:rPr>
        <w:t>内及时利用，发现霉变、腐败、明显异味或发热的部分应剔除，不应饲喂。</w:t>
      </w:r>
    </w:p>
    <w:bookmarkEnd w:id="20"/>
    <w:p w:rsidR="00AD446B" w:rsidRDefault="00172B4B">
      <w:r>
        <w:br w:type="page"/>
      </w:r>
    </w:p>
    <w:p w:rsidR="00AD446B" w:rsidRDefault="00172B4B">
      <w:pPr>
        <w:pStyle w:val="aff3"/>
        <w:spacing w:after="120"/>
      </w:pPr>
      <w:bookmarkStart w:id="66" w:name="_Toc3641"/>
      <w:r>
        <w:lastRenderedPageBreak/>
        <w:br/>
      </w:r>
      <w:r>
        <w:rPr>
          <w:rStyle w:val="Char0"/>
          <w:rFonts w:hint="eastAsia"/>
        </w:rPr>
        <w:t>（资料性）</w:t>
      </w:r>
      <w:r>
        <w:br/>
      </w:r>
      <w:r>
        <w:rPr>
          <w:rFonts w:hint="eastAsia"/>
        </w:rPr>
        <w:t>菊芋青贮饲料发酵品质分级判定方法</w:t>
      </w:r>
      <w:bookmarkEnd w:id="66"/>
    </w:p>
    <w:p w:rsidR="00AD446B" w:rsidRDefault="00172B4B">
      <w:pPr>
        <w:pStyle w:val="afffff5"/>
        <w:ind w:firstLine="420"/>
      </w:pPr>
      <w:r>
        <w:rPr>
          <w:rFonts w:hint="eastAsia"/>
        </w:rPr>
        <w:t>菊芋青贮饲料发酵品质分级判定方法见表</w:t>
      </w:r>
      <w:r>
        <w:rPr>
          <w:rFonts w:hint="eastAsia"/>
        </w:rPr>
        <w:t>A.1:</w:t>
      </w:r>
    </w:p>
    <w:p w:rsidR="00AD446B" w:rsidRDefault="00172B4B">
      <w:pPr>
        <w:pStyle w:val="aff"/>
        <w:spacing w:before="120" w:after="120"/>
      </w:pPr>
      <w:r>
        <w:rPr>
          <w:rFonts w:hint="eastAsia"/>
        </w:rPr>
        <w:t>菊芋青贮饲料发酵品质分级判定</w:t>
      </w:r>
    </w:p>
    <w:tbl>
      <w:tblPr>
        <w:tblStyle w:val="affff7"/>
        <w:tblW w:w="4983" w:type="pct"/>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219"/>
        <w:gridCol w:w="1317"/>
        <w:gridCol w:w="2811"/>
        <w:gridCol w:w="1970"/>
        <w:gridCol w:w="1985"/>
      </w:tblGrid>
      <w:tr w:rsidR="00AD446B">
        <w:tc>
          <w:tcPr>
            <w:tcW w:w="655" w:type="pct"/>
            <w:vMerge w:val="restart"/>
            <w:tcBorders>
              <w:top w:val="single" w:sz="8" w:space="0" w:color="auto"/>
            </w:tcBorders>
            <w:shd w:val="clear" w:color="auto" w:fill="auto"/>
            <w:vAlign w:val="center"/>
          </w:tcPr>
          <w:p w:rsidR="00AD446B" w:rsidRDefault="00172B4B">
            <w:pPr>
              <w:widowControl/>
              <w:spacing w:line="240" w:lineRule="auto"/>
              <w:jc w:val="center"/>
              <w:rPr>
                <w:rFonts w:ascii="Times New Roman" w:hAnsi="Times New Roman"/>
                <w:kern w:val="0"/>
                <w:sz w:val="18"/>
                <w:lang w:bidi="ar"/>
              </w:rPr>
            </w:pPr>
            <w:r>
              <w:rPr>
                <w:rFonts w:ascii="Times New Roman" w:hAnsi="Times New Roman"/>
                <w:kern w:val="0"/>
                <w:sz w:val="18"/>
                <w:lang w:bidi="ar"/>
              </w:rPr>
              <w:t>检测项目</w:t>
            </w:r>
          </w:p>
        </w:tc>
        <w:tc>
          <w:tcPr>
            <w:tcW w:w="3278" w:type="pct"/>
            <w:gridSpan w:val="3"/>
            <w:tcBorders>
              <w:top w:val="single" w:sz="8" w:space="0" w:color="auto"/>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Times New Roman" w:hAnsi="Times New Roman" w:hint="eastAsia"/>
                <w:color w:val="000000" w:themeColor="text1"/>
                <w:sz w:val="18"/>
              </w:rPr>
              <w:t>饲料等级</w:t>
            </w:r>
          </w:p>
        </w:tc>
        <w:tc>
          <w:tcPr>
            <w:tcW w:w="1065" w:type="pct"/>
            <w:vMerge w:val="restart"/>
            <w:tcBorders>
              <w:top w:val="single" w:sz="8" w:space="0" w:color="auto"/>
            </w:tcBorders>
            <w:shd w:val="clear" w:color="auto" w:fill="auto"/>
            <w:vAlign w:val="center"/>
          </w:tcPr>
          <w:p w:rsidR="00AD446B" w:rsidRDefault="00172B4B">
            <w:pPr>
              <w:widowControl/>
              <w:spacing w:line="240" w:lineRule="auto"/>
              <w:jc w:val="center"/>
              <w:rPr>
                <w:rFonts w:ascii="Times New Roman" w:hAnsi="Times New Roman"/>
                <w:kern w:val="0"/>
                <w:sz w:val="18"/>
                <w:lang w:bidi="ar"/>
              </w:rPr>
            </w:pPr>
            <w:r>
              <w:rPr>
                <w:rFonts w:ascii="Times New Roman" w:hAnsi="Times New Roman" w:hint="eastAsia"/>
                <w:kern w:val="0"/>
                <w:sz w:val="18"/>
                <w:lang w:bidi="ar"/>
              </w:rPr>
              <w:t>检测方法</w:t>
            </w:r>
          </w:p>
        </w:tc>
      </w:tr>
      <w:tr w:rsidR="00AD446B">
        <w:tc>
          <w:tcPr>
            <w:tcW w:w="655" w:type="pct"/>
            <w:vMerge/>
            <w:tcBorders>
              <w:bottom w:val="single" w:sz="8" w:space="0" w:color="auto"/>
            </w:tcBorders>
            <w:shd w:val="clear" w:color="auto" w:fill="auto"/>
            <w:vAlign w:val="center"/>
          </w:tcPr>
          <w:p w:rsidR="00AD446B" w:rsidRDefault="00AD446B">
            <w:pPr>
              <w:widowControl/>
              <w:spacing w:line="240" w:lineRule="auto"/>
              <w:jc w:val="center"/>
              <w:rPr>
                <w:rFonts w:ascii="Times New Roman" w:hAnsi="Times New Roman"/>
                <w:kern w:val="0"/>
                <w:sz w:val="18"/>
                <w:lang w:bidi="ar"/>
              </w:rPr>
            </w:pPr>
          </w:p>
        </w:tc>
        <w:tc>
          <w:tcPr>
            <w:tcW w:w="708" w:type="pct"/>
            <w:tcBorders>
              <w:top w:val="single" w:sz="8" w:space="0" w:color="auto"/>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Times New Roman" w:hAnsi="Times New Roman"/>
                <w:color w:val="000000" w:themeColor="text1"/>
                <w:kern w:val="0"/>
                <w:sz w:val="18"/>
                <w:lang w:bidi="ar"/>
              </w:rPr>
              <w:t>优良</w:t>
            </w:r>
          </w:p>
        </w:tc>
        <w:tc>
          <w:tcPr>
            <w:tcW w:w="1511" w:type="pct"/>
            <w:tcBorders>
              <w:top w:val="single" w:sz="8" w:space="0" w:color="auto"/>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Times New Roman" w:hAnsi="Times New Roman"/>
                <w:color w:val="000000" w:themeColor="text1"/>
                <w:kern w:val="0"/>
                <w:sz w:val="18"/>
                <w:lang w:bidi="ar"/>
              </w:rPr>
              <w:t>合格</w:t>
            </w:r>
          </w:p>
        </w:tc>
        <w:tc>
          <w:tcPr>
            <w:tcW w:w="1059" w:type="pct"/>
            <w:tcBorders>
              <w:top w:val="single" w:sz="8" w:space="0" w:color="auto"/>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Times New Roman" w:hAnsi="Times New Roman"/>
                <w:color w:val="000000" w:themeColor="text1"/>
                <w:kern w:val="0"/>
                <w:sz w:val="18"/>
                <w:lang w:bidi="ar"/>
              </w:rPr>
              <w:t>不合格</w:t>
            </w:r>
          </w:p>
        </w:tc>
        <w:tc>
          <w:tcPr>
            <w:tcW w:w="1065" w:type="pct"/>
            <w:vMerge/>
            <w:tcBorders>
              <w:bottom w:val="single" w:sz="8" w:space="0" w:color="auto"/>
            </w:tcBorders>
            <w:shd w:val="clear" w:color="auto" w:fill="auto"/>
            <w:vAlign w:val="center"/>
          </w:tcPr>
          <w:p w:rsidR="00AD446B" w:rsidRDefault="00AD446B">
            <w:pPr>
              <w:widowControl/>
              <w:spacing w:line="240" w:lineRule="auto"/>
              <w:jc w:val="center"/>
              <w:rPr>
                <w:rFonts w:ascii="Times New Roman" w:hAnsi="Times New Roman"/>
                <w:kern w:val="0"/>
                <w:sz w:val="18"/>
                <w:lang w:bidi="ar"/>
              </w:rPr>
            </w:pPr>
          </w:p>
        </w:tc>
      </w:tr>
      <w:tr w:rsidR="00AD446B">
        <w:tc>
          <w:tcPr>
            <w:tcW w:w="655" w:type="pct"/>
            <w:tcBorders>
              <w:top w:val="single" w:sz="8" w:space="0" w:color="auto"/>
            </w:tcBorders>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pH</w:t>
            </w:r>
          </w:p>
        </w:tc>
        <w:tc>
          <w:tcPr>
            <w:tcW w:w="708" w:type="pct"/>
            <w:tcBorders>
              <w:top w:val="single" w:sz="8" w:space="0" w:color="auto"/>
            </w:tcBorders>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Times New Roman" w:hAnsi="Times New Roman" w:hint="eastAsia"/>
                <w:color w:val="000000" w:themeColor="text1"/>
                <w:kern w:val="0"/>
                <w:sz w:val="18"/>
                <w:lang w:bidi="ar"/>
              </w:rPr>
              <w:t>3.5~4.2</w:t>
            </w:r>
          </w:p>
        </w:tc>
        <w:tc>
          <w:tcPr>
            <w:tcW w:w="1511" w:type="pct"/>
            <w:tcBorders>
              <w:top w:val="single" w:sz="8" w:space="0" w:color="auto"/>
            </w:tcBorders>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Times New Roman" w:hAnsi="Times New Roman"/>
                <w:color w:val="000000" w:themeColor="text1"/>
                <w:kern w:val="0"/>
                <w:sz w:val="18"/>
                <w:lang w:bidi="ar"/>
              </w:rPr>
              <w:t>4.20</w:t>
            </w:r>
            <w:r>
              <w:rPr>
                <w:rFonts w:ascii="宋体" w:hAnsi="宋体" w:cs="宋体" w:hint="eastAsia"/>
                <w:color w:val="000000" w:themeColor="text1"/>
                <w:kern w:val="0"/>
                <w:sz w:val="18"/>
                <w:lang w:bidi="ar"/>
              </w:rPr>
              <w:t>&lt;</w:t>
            </w:r>
            <w:r>
              <w:rPr>
                <w:rFonts w:ascii="Times New Roman" w:hAnsi="Times New Roman"/>
                <w:color w:val="000000" w:themeColor="text1"/>
                <w:kern w:val="0"/>
                <w:sz w:val="18"/>
                <w:lang w:bidi="ar"/>
              </w:rPr>
              <w:t>pH</w:t>
            </w:r>
            <w:r>
              <w:rPr>
                <w:rFonts w:ascii="宋体" w:hAnsi="宋体" w:cs="宋体" w:hint="eastAsia"/>
                <w:color w:val="000000" w:themeColor="text1"/>
                <w:kern w:val="0"/>
                <w:sz w:val="18"/>
                <w:lang w:bidi="ar"/>
              </w:rPr>
              <w:t>≤</w:t>
            </w:r>
            <w:r>
              <w:rPr>
                <w:rFonts w:ascii="Times New Roman" w:hAnsi="Times New Roman"/>
                <w:color w:val="000000" w:themeColor="text1"/>
                <w:kern w:val="0"/>
                <w:sz w:val="18"/>
                <w:lang w:bidi="ar"/>
              </w:rPr>
              <w:t>4.60</w:t>
            </w:r>
          </w:p>
        </w:tc>
        <w:tc>
          <w:tcPr>
            <w:tcW w:w="1059" w:type="pct"/>
            <w:tcBorders>
              <w:top w:val="single" w:sz="8" w:space="0" w:color="auto"/>
            </w:tcBorders>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宋体" w:hAnsi="宋体" w:cs="宋体" w:hint="eastAsia"/>
                <w:color w:val="000000" w:themeColor="text1"/>
                <w:kern w:val="0"/>
                <w:sz w:val="18"/>
                <w:lang w:bidi="ar"/>
              </w:rPr>
              <w:t>＞</w:t>
            </w:r>
            <w:r>
              <w:rPr>
                <w:rFonts w:ascii="Times New Roman" w:hAnsi="Times New Roman"/>
                <w:color w:val="000000" w:themeColor="text1"/>
                <w:kern w:val="0"/>
                <w:sz w:val="18"/>
                <w:lang w:bidi="ar"/>
              </w:rPr>
              <w:t>4.60</w:t>
            </w:r>
          </w:p>
        </w:tc>
        <w:tc>
          <w:tcPr>
            <w:tcW w:w="1065" w:type="pct"/>
            <w:tcBorders>
              <w:top w:val="single" w:sz="8" w:space="0" w:color="auto"/>
            </w:tcBorders>
            <w:shd w:val="clear" w:color="auto" w:fill="auto"/>
            <w:vAlign w:val="center"/>
          </w:tcPr>
          <w:p w:rsidR="00AD446B" w:rsidRDefault="00172B4B">
            <w:pPr>
              <w:widowControl/>
              <w:spacing w:line="240" w:lineRule="auto"/>
              <w:jc w:val="center"/>
              <w:rPr>
                <w:rFonts w:ascii="Times New Roman" w:hAnsi="Times New Roman"/>
                <w:kern w:val="0"/>
                <w:sz w:val="18"/>
                <w:lang w:bidi="ar"/>
              </w:rPr>
            </w:pPr>
            <w:r>
              <w:rPr>
                <w:rFonts w:ascii="Times New Roman" w:hAnsi="Times New Roman" w:hint="eastAsia"/>
                <w:kern w:val="0"/>
                <w:sz w:val="18"/>
                <w:lang w:bidi="ar"/>
              </w:rPr>
              <w:t>水浸提液电位法；参照</w:t>
            </w:r>
            <w:r>
              <w:rPr>
                <w:rFonts w:ascii="Times New Roman" w:hAnsi="Times New Roman" w:hint="eastAsia"/>
                <w:kern w:val="0"/>
                <w:sz w:val="18"/>
                <w:lang w:bidi="ar"/>
              </w:rPr>
              <w:t>GB/T 10468</w:t>
            </w:r>
            <w:r>
              <w:rPr>
                <w:rFonts w:ascii="Times New Roman" w:hAnsi="Times New Roman" w:hint="eastAsia"/>
                <w:kern w:val="0"/>
                <w:sz w:val="18"/>
                <w:lang w:bidi="ar"/>
              </w:rPr>
              <w:t>测定</w:t>
            </w:r>
          </w:p>
        </w:tc>
      </w:tr>
      <w:tr w:rsidR="00AD446B">
        <w:tc>
          <w:tcPr>
            <w:tcW w:w="655" w:type="pct"/>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乳酸</w:t>
            </w:r>
            <w:r>
              <w:rPr>
                <w:rFonts w:ascii="Times New Roman" w:hAnsi="Times New Roman"/>
                <w:kern w:val="0"/>
                <w:sz w:val="18"/>
                <w:lang w:bidi="ar"/>
              </w:rPr>
              <w:t>/</w:t>
            </w:r>
            <w:r>
              <w:rPr>
                <w:rFonts w:ascii="Times New Roman" w:hAnsi="Times New Roman"/>
                <w:kern w:val="0"/>
                <w:sz w:val="18"/>
                <w:lang w:bidi="ar"/>
              </w:rPr>
              <w:t>总酸</w:t>
            </w:r>
          </w:p>
        </w:tc>
        <w:tc>
          <w:tcPr>
            <w:tcW w:w="708" w:type="pct"/>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宋体" w:hAnsi="宋体" w:cs="宋体" w:hint="eastAsia"/>
                <w:color w:val="000000" w:themeColor="text1"/>
                <w:kern w:val="0"/>
                <w:sz w:val="18"/>
                <w:lang w:bidi="ar"/>
              </w:rPr>
              <w:t>≥</w:t>
            </w:r>
            <w:r>
              <w:rPr>
                <w:rFonts w:ascii="Times New Roman" w:hAnsi="Times New Roman"/>
                <w:color w:val="000000" w:themeColor="text1"/>
                <w:kern w:val="0"/>
                <w:sz w:val="18"/>
                <w:lang w:bidi="ar"/>
              </w:rPr>
              <w:t>60%</w:t>
            </w:r>
          </w:p>
        </w:tc>
        <w:tc>
          <w:tcPr>
            <w:tcW w:w="1511" w:type="pct"/>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Times New Roman" w:hAnsi="Times New Roman"/>
                <w:color w:val="000000" w:themeColor="text1"/>
                <w:kern w:val="0"/>
                <w:sz w:val="18"/>
                <w:lang w:bidi="ar"/>
              </w:rPr>
              <w:t>50%</w:t>
            </w:r>
            <w:r>
              <w:rPr>
                <w:rFonts w:ascii="宋体" w:hAnsi="宋体" w:cs="宋体" w:hint="eastAsia"/>
                <w:color w:val="000000" w:themeColor="text1"/>
                <w:kern w:val="0"/>
                <w:sz w:val="18"/>
                <w:lang w:bidi="ar"/>
              </w:rPr>
              <w:t>≤</w:t>
            </w:r>
            <w:r>
              <w:rPr>
                <w:rFonts w:ascii="Times New Roman" w:hAnsi="Times New Roman"/>
                <w:color w:val="000000" w:themeColor="text1"/>
                <w:kern w:val="0"/>
                <w:sz w:val="18"/>
                <w:lang w:bidi="ar"/>
              </w:rPr>
              <w:t>乳酸</w:t>
            </w:r>
            <w:r>
              <w:rPr>
                <w:rFonts w:ascii="Times New Roman" w:hAnsi="Times New Roman"/>
                <w:color w:val="000000" w:themeColor="text1"/>
                <w:kern w:val="0"/>
                <w:sz w:val="18"/>
                <w:lang w:bidi="ar"/>
              </w:rPr>
              <w:t>/</w:t>
            </w:r>
            <w:r>
              <w:rPr>
                <w:rFonts w:ascii="Times New Roman" w:hAnsi="Times New Roman"/>
                <w:color w:val="000000" w:themeColor="text1"/>
                <w:kern w:val="0"/>
                <w:sz w:val="18"/>
                <w:lang w:bidi="ar"/>
              </w:rPr>
              <w:t>总酸</w:t>
            </w:r>
            <w:r>
              <w:rPr>
                <w:rFonts w:ascii="宋体" w:hAnsi="宋体" w:cs="宋体" w:hint="eastAsia"/>
                <w:color w:val="000000" w:themeColor="text1"/>
                <w:kern w:val="0"/>
                <w:sz w:val="18"/>
                <w:lang w:bidi="ar"/>
              </w:rPr>
              <w:t>&lt;</w:t>
            </w:r>
            <w:r>
              <w:rPr>
                <w:rFonts w:ascii="Times New Roman" w:hAnsi="Times New Roman"/>
                <w:color w:val="000000" w:themeColor="text1"/>
                <w:kern w:val="0"/>
                <w:sz w:val="18"/>
                <w:lang w:bidi="ar"/>
              </w:rPr>
              <w:t>60%</w:t>
            </w:r>
          </w:p>
        </w:tc>
        <w:tc>
          <w:tcPr>
            <w:tcW w:w="1059" w:type="pct"/>
            <w:shd w:val="clear" w:color="auto" w:fill="auto"/>
            <w:vAlign w:val="center"/>
          </w:tcPr>
          <w:p w:rsidR="00AD446B" w:rsidRDefault="00172B4B">
            <w:pPr>
              <w:widowControl/>
              <w:spacing w:line="240" w:lineRule="auto"/>
              <w:jc w:val="center"/>
              <w:rPr>
                <w:rFonts w:ascii="Times New Roman" w:hAnsi="Times New Roman"/>
                <w:color w:val="000000" w:themeColor="text1"/>
                <w:sz w:val="18"/>
              </w:rPr>
            </w:pPr>
            <w:r>
              <w:rPr>
                <w:rFonts w:ascii="宋体" w:hAnsi="宋体" w:cs="宋体" w:hint="eastAsia"/>
                <w:color w:val="000000" w:themeColor="text1"/>
                <w:kern w:val="0"/>
                <w:sz w:val="18"/>
                <w:lang w:bidi="ar"/>
              </w:rPr>
              <w:t>＜</w:t>
            </w:r>
            <w:r>
              <w:rPr>
                <w:rFonts w:ascii="Times New Roman" w:hAnsi="Times New Roman"/>
                <w:color w:val="000000" w:themeColor="text1"/>
                <w:kern w:val="0"/>
                <w:sz w:val="18"/>
                <w:lang w:bidi="ar"/>
              </w:rPr>
              <w:t>50%</w:t>
            </w:r>
          </w:p>
        </w:tc>
        <w:tc>
          <w:tcPr>
            <w:tcW w:w="1065" w:type="pct"/>
            <w:shd w:val="clear" w:color="auto" w:fill="auto"/>
            <w:vAlign w:val="center"/>
          </w:tcPr>
          <w:p w:rsidR="00AD446B" w:rsidRDefault="00172B4B">
            <w:pPr>
              <w:widowControl/>
              <w:spacing w:line="240" w:lineRule="auto"/>
              <w:jc w:val="center"/>
              <w:rPr>
                <w:rFonts w:ascii="Times New Roman" w:hAnsi="Times New Roman"/>
                <w:kern w:val="0"/>
                <w:sz w:val="18"/>
                <w:lang w:bidi="ar"/>
              </w:rPr>
            </w:pPr>
            <w:r>
              <w:rPr>
                <w:rFonts w:ascii="Times New Roman" w:hAnsi="Times New Roman" w:hint="eastAsia"/>
                <w:kern w:val="0"/>
                <w:sz w:val="18"/>
                <w:lang w:bidi="ar"/>
              </w:rPr>
              <w:t>参照</w:t>
            </w:r>
            <w:r>
              <w:rPr>
                <w:rFonts w:ascii="Times New Roman" w:hAnsi="Times New Roman" w:hint="eastAsia"/>
                <w:kern w:val="0"/>
                <w:sz w:val="18"/>
                <w:lang w:bidi="ar"/>
              </w:rPr>
              <w:t>T/DALN 037</w:t>
            </w:r>
            <w:r>
              <w:rPr>
                <w:rFonts w:ascii="Times New Roman" w:hAnsi="Times New Roman" w:hint="eastAsia"/>
                <w:kern w:val="0"/>
                <w:sz w:val="18"/>
                <w:lang w:bidi="ar"/>
              </w:rPr>
              <w:t>测定（高效液相色谱法）</w:t>
            </w:r>
          </w:p>
        </w:tc>
      </w:tr>
      <w:tr w:rsidR="00AD446B">
        <w:tc>
          <w:tcPr>
            <w:tcW w:w="655" w:type="pct"/>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丁酸</w:t>
            </w:r>
            <w:r>
              <w:rPr>
                <w:rFonts w:ascii="Times New Roman" w:hAnsi="Times New Roman" w:hint="eastAsia"/>
                <w:color w:val="000000" w:themeColor="text1"/>
                <w:kern w:val="0"/>
                <w:sz w:val="18"/>
                <w:vertAlign w:val="superscript"/>
                <w:lang w:bidi="ar"/>
              </w:rPr>
              <w:t>a</w:t>
            </w:r>
          </w:p>
        </w:tc>
        <w:tc>
          <w:tcPr>
            <w:tcW w:w="708" w:type="pct"/>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未检出或极低</w:t>
            </w:r>
          </w:p>
        </w:tc>
        <w:tc>
          <w:tcPr>
            <w:tcW w:w="1511" w:type="pct"/>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少量检出、无明显丁酸味</w:t>
            </w:r>
          </w:p>
        </w:tc>
        <w:tc>
          <w:tcPr>
            <w:tcW w:w="1059" w:type="pct"/>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明显检出并有丁酸味</w:t>
            </w:r>
          </w:p>
        </w:tc>
        <w:tc>
          <w:tcPr>
            <w:tcW w:w="1065" w:type="pct"/>
            <w:shd w:val="clear" w:color="auto" w:fill="auto"/>
            <w:vAlign w:val="center"/>
          </w:tcPr>
          <w:p w:rsidR="00AD446B" w:rsidRDefault="00172B4B">
            <w:pPr>
              <w:widowControl/>
              <w:spacing w:line="240" w:lineRule="auto"/>
              <w:jc w:val="center"/>
              <w:rPr>
                <w:rFonts w:ascii="Times New Roman" w:hAnsi="Times New Roman"/>
                <w:kern w:val="0"/>
                <w:sz w:val="18"/>
                <w:lang w:bidi="ar"/>
              </w:rPr>
            </w:pPr>
            <w:r>
              <w:rPr>
                <w:rFonts w:ascii="Times New Roman" w:hAnsi="Times New Roman" w:hint="eastAsia"/>
                <w:kern w:val="0"/>
                <w:sz w:val="18"/>
                <w:lang w:bidi="ar"/>
              </w:rPr>
              <w:t>参照</w:t>
            </w:r>
            <w:r>
              <w:rPr>
                <w:rFonts w:ascii="Times New Roman" w:hAnsi="Times New Roman" w:hint="eastAsia"/>
                <w:kern w:val="0"/>
                <w:sz w:val="18"/>
                <w:lang w:bidi="ar"/>
              </w:rPr>
              <w:t>T/DALN 037</w:t>
            </w:r>
            <w:r>
              <w:rPr>
                <w:rFonts w:ascii="Times New Roman" w:hAnsi="Times New Roman" w:hint="eastAsia"/>
                <w:kern w:val="0"/>
                <w:sz w:val="18"/>
                <w:lang w:bidi="ar"/>
              </w:rPr>
              <w:t>测定；结合感官检查</w:t>
            </w:r>
          </w:p>
        </w:tc>
      </w:tr>
      <w:tr w:rsidR="00AD446B">
        <w:tc>
          <w:tcPr>
            <w:tcW w:w="655" w:type="pct"/>
            <w:shd w:val="clear" w:color="auto" w:fill="auto"/>
            <w:vAlign w:val="center"/>
          </w:tcPr>
          <w:p w:rsidR="00AD446B" w:rsidRDefault="00172B4B">
            <w:pPr>
              <w:widowControl/>
              <w:spacing w:line="240" w:lineRule="auto"/>
              <w:jc w:val="center"/>
              <w:rPr>
                <w:rFonts w:ascii="Times New Roman" w:hAnsi="Times New Roman"/>
                <w:sz w:val="18"/>
              </w:rPr>
            </w:pPr>
            <w:proofErr w:type="gramStart"/>
            <w:r>
              <w:rPr>
                <w:rFonts w:ascii="Times New Roman" w:hAnsi="Times New Roman"/>
                <w:kern w:val="0"/>
                <w:sz w:val="18"/>
                <w:lang w:bidi="ar"/>
              </w:rPr>
              <w:t>氨态氮</w:t>
            </w:r>
            <w:proofErr w:type="gramEnd"/>
            <w:r>
              <w:rPr>
                <w:rFonts w:ascii="Times New Roman" w:hAnsi="Times New Roman"/>
                <w:kern w:val="0"/>
                <w:sz w:val="18"/>
                <w:lang w:bidi="ar"/>
              </w:rPr>
              <w:t>/</w:t>
            </w:r>
            <w:r>
              <w:rPr>
                <w:rFonts w:ascii="Times New Roman" w:hAnsi="Times New Roman"/>
                <w:kern w:val="0"/>
                <w:sz w:val="18"/>
                <w:lang w:bidi="ar"/>
              </w:rPr>
              <w:t>总氮</w:t>
            </w:r>
          </w:p>
        </w:tc>
        <w:tc>
          <w:tcPr>
            <w:tcW w:w="708" w:type="pct"/>
            <w:shd w:val="clear" w:color="auto" w:fill="auto"/>
            <w:vAlign w:val="center"/>
          </w:tcPr>
          <w:p w:rsidR="00AD446B" w:rsidRDefault="00172B4B">
            <w:pPr>
              <w:widowControl/>
              <w:spacing w:line="240" w:lineRule="auto"/>
              <w:jc w:val="center"/>
              <w:rPr>
                <w:rFonts w:ascii="Times New Roman" w:hAnsi="Times New Roman"/>
                <w:sz w:val="18"/>
              </w:rPr>
            </w:pPr>
            <w:r>
              <w:rPr>
                <w:rFonts w:ascii="宋体" w:hAnsi="宋体" w:cs="宋体" w:hint="eastAsia"/>
                <w:kern w:val="0"/>
                <w:sz w:val="18"/>
                <w:lang w:bidi="ar"/>
              </w:rPr>
              <w:t>≤</w:t>
            </w:r>
            <w:r>
              <w:rPr>
                <w:rFonts w:ascii="Times New Roman" w:hAnsi="Times New Roman"/>
                <w:kern w:val="0"/>
                <w:sz w:val="18"/>
                <w:lang w:bidi="ar"/>
              </w:rPr>
              <w:t>10%</w:t>
            </w:r>
          </w:p>
        </w:tc>
        <w:tc>
          <w:tcPr>
            <w:tcW w:w="1511" w:type="pct"/>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10%</w:t>
            </w:r>
            <w:r>
              <w:rPr>
                <w:rFonts w:ascii="宋体" w:hAnsi="宋体" w:cs="宋体" w:hint="eastAsia"/>
                <w:kern w:val="0"/>
                <w:sz w:val="18"/>
                <w:lang w:bidi="ar"/>
              </w:rPr>
              <w:t>&lt;</w:t>
            </w:r>
            <w:proofErr w:type="gramStart"/>
            <w:r>
              <w:rPr>
                <w:rFonts w:ascii="Times New Roman" w:hAnsi="Times New Roman"/>
                <w:kern w:val="0"/>
                <w:sz w:val="18"/>
                <w:lang w:bidi="ar"/>
              </w:rPr>
              <w:t>氨态氮</w:t>
            </w:r>
            <w:proofErr w:type="gramEnd"/>
            <w:r>
              <w:rPr>
                <w:rFonts w:ascii="Times New Roman" w:hAnsi="Times New Roman"/>
                <w:kern w:val="0"/>
                <w:sz w:val="18"/>
                <w:lang w:bidi="ar"/>
              </w:rPr>
              <w:t>/</w:t>
            </w:r>
            <w:r>
              <w:rPr>
                <w:rFonts w:ascii="Times New Roman" w:hAnsi="Times New Roman"/>
                <w:kern w:val="0"/>
                <w:sz w:val="18"/>
                <w:lang w:bidi="ar"/>
              </w:rPr>
              <w:t>总氮</w:t>
            </w:r>
            <w:r>
              <w:rPr>
                <w:rFonts w:ascii="宋体" w:hAnsi="宋体" w:cs="宋体" w:hint="eastAsia"/>
                <w:kern w:val="0"/>
                <w:sz w:val="18"/>
                <w:lang w:bidi="ar"/>
              </w:rPr>
              <w:t>≤</w:t>
            </w:r>
            <w:r>
              <w:rPr>
                <w:rFonts w:ascii="Times New Roman" w:hAnsi="Times New Roman"/>
                <w:kern w:val="0"/>
                <w:sz w:val="18"/>
                <w:lang w:bidi="ar"/>
              </w:rPr>
              <w:t>15%</w:t>
            </w:r>
          </w:p>
        </w:tc>
        <w:tc>
          <w:tcPr>
            <w:tcW w:w="1059" w:type="pct"/>
            <w:shd w:val="clear" w:color="auto" w:fill="auto"/>
            <w:vAlign w:val="center"/>
          </w:tcPr>
          <w:p w:rsidR="00AD446B" w:rsidRDefault="00172B4B">
            <w:pPr>
              <w:widowControl/>
              <w:spacing w:line="240" w:lineRule="auto"/>
              <w:jc w:val="center"/>
              <w:rPr>
                <w:rFonts w:ascii="Times New Roman" w:hAnsi="Times New Roman"/>
                <w:sz w:val="18"/>
              </w:rPr>
            </w:pPr>
            <w:r>
              <w:rPr>
                <w:rFonts w:ascii="宋体" w:hAnsi="宋体" w:cs="宋体" w:hint="eastAsia"/>
                <w:kern w:val="0"/>
                <w:sz w:val="18"/>
                <w:lang w:bidi="ar"/>
              </w:rPr>
              <w:t>＞</w:t>
            </w:r>
            <w:r>
              <w:rPr>
                <w:rFonts w:ascii="Times New Roman" w:hAnsi="Times New Roman"/>
                <w:kern w:val="0"/>
                <w:sz w:val="18"/>
                <w:lang w:bidi="ar"/>
              </w:rPr>
              <w:t>15%</w:t>
            </w:r>
          </w:p>
        </w:tc>
        <w:tc>
          <w:tcPr>
            <w:tcW w:w="1065" w:type="pct"/>
            <w:shd w:val="clear" w:color="auto" w:fill="auto"/>
            <w:vAlign w:val="center"/>
          </w:tcPr>
          <w:p w:rsidR="00AD446B" w:rsidRDefault="00172B4B">
            <w:pPr>
              <w:widowControl/>
              <w:spacing w:line="240" w:lineRule="auto"/>
              <w:jc w:val="center"/>
              <w:rPr>
                <w:rFonts w:ascii="Times New Roman" w:hAnsi="Times New Roman"/>
                <w:kern w:val="0"/>
                <w:sz w:val="18"/>
                <w:lang w:bidi="ar"/>
              </w:rPr>
            </w:pPr>
            <w:proofErr w:type="gramStart"/>
            <w:r>
              <w:rPr>
                <w:rFonts w:ascii="Times New Roman" w:hAnsi="Times New Roman" w:hint="eastAsia"/>
                <w:kern w:val="0"/>
                <w:sz w:val="18"/>
                <w:lang w:bidi="ar"/>
              </w:rPr>
              <w:t>氨态氮</w:t>
            </w:r>
            <w:proofErr w:type="gramEnd"/>
            <w:r>
              <w:rPr>
                <w:rFonts w:ascii="Times New Roman" w:hAnsi="Times New Roman" w:hint="eastAsia"/>
                <w:kern w:val="0"/>
                <w:sz w:val="18"/>
                <w:lang w:bidi="ar"/>
              </w:rPr>
              <w:t>参照</w:t>
            </w:r>
            <w:r>
              <w:rPr>
                <w:rFonts w:ascii="Times New Roman" w:hAnsi="Times New Roman" w:hint="eastAsia"/>
                <w:kern w:val="0"/>
                <w:sz w:val="18"/>
                <w:lang w:bidi="ar"/>
              </w:rPr>
              <w:t>T/CAAA 004</w:t>
            </w:r>
            <w:r>
              <w:rPr>
                <w:rFonts w:ascii="Times New Roman" w:hAnsi="Times New Roman" w:hint="eastAsia"/>
                <w:kern w:val="0"/>
                <w:sz w:val="18"/>
                <w:lang w:bidi="ar"/>
              </w:rPr>
              <w:t>测定；总氮参照</w:t>
            </w:r>
            <w:r>
              <w:rPr>
                <w:rFonts w:ascii="Times New Roman" w:hAnsi="Times New Roman" w:hint="eastAsia"/>
                <w:kern w:val="0"/>
                <w:sz w:val="18"/>
                <w:lang w:bidi="ar"/>
              </w:rPr>
              <w:t>GB/T 6432</w:t>
            </w:r>
            <w:r>
              <w:rPr>
                <w:rFonts w:ascii="Times New Roman" w:hAnsi="Times New Roman" w:hint="eastAsia"/>
                <w:kern w:val="0"/>
                <w:sz w:val="18"/>
                <w:lang w:bidi="ar"/>
              </w:rPr>
              <w:t>测定</w:t>
            </w:r>
          </w:p>
        </w:tc>
      </w:tr>
      <w:tr w:rsidR="00AD446B">
        <w:tc>
          <w:tcPr>
            <w:tcW w:w="655" w:type="pct"/>
            <w:tcBorders>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霉变情况</w:t>
            </w:r>
          </w:p>
        </w:tc>
        <w:tc>
          <w:tcPr>
            <w:tcW w:w="708" w:type="pct"/>
            <w:tcBorders>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无霉变</w:t>
            </w:r>
          </w:p>
        </w:tc>
        <w:tc>
          <w:tcPr>
            <w:tcW w:w="1511" w:type="pct"/>
            <w:tcBorders>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局部轻微霉变，剔除后可利用</w:t>
            </w:r>
          </w:p>
        </w:tc>
        <w:tc>
          <w:tcPr>
            <w:tcW w:w="1059" w:type="pct"/>
            <w:tcBorders>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sz w:val="18"/>
              </w:rPr>
            </w:pPr>
            <w:r>
              <w:rPr>
                <w:rFonts w:ascii="Times New Roman" w:hAnsi="Times New Roman"/>
                <w:kern w:val="0"/>
                <w:sz w:val="18"/>
                <w:lang w:bidi="ar"/>
              </w:rPr>
              <w:t>明显霉变，不宜利用</w:t>
            </w:r>
          </w:p>
        </w:tc>
        <w:tc>
          <w:tcPr>
            <w:tcW w:w="1065" w:type="pct"/>
            <w:tcBorders>
              <w:bottom w:val="single" w:sz="8" w:space="0" w:color="auto"/>
            </w:tcBorders>
            <w:shd w:val="clear" w:color="auto" w:fill="auto"/>
            <w:vAlign w:val="center"/>
          </w:tcPr>
          <w:p w:rsidR="00AD446B" w:rsidRDefault="00172B4B">
            <w:pPr>
              <w:widowControl/>
              <w:spacing w:line="240" w:lineRule="auto"/>
              <w:jc w:val="center"/>
              <w:rPr>
                <w:rFonts w:ascii="Times New Roman" w:hAnsi="Times New Roman"/>
                <w:kern w:val="0"/>
                <w:sz w:val="18"/>
                <w:lang w:bidi="ar"/>
              </w:rPr>
            </w:pPr>
            <w:r>
              <w:rPr>
                <w:rFonts w:ascii="Times New Roman" w:hAnsi="Times New Roman" w:hint="eastAsia"/>
                <w:kern w:val="0"/>
                <w:sz w:val="18"/>
                <w:lang w:bidi="ar"/>
              </w:rPr>
              <w:t>感官检查，参照</w:t>
            </w:r>
            <w:r>
              <w:rPr>
                <w:rFonts w:ascii="Times New Roman" w:hAnsi="Times New Roman" w:hint="eastAsia"/>
                <w:kern w:val="0"/>
                <w:sz w:val="18"/>
                <w:lang w:bidi="ar"/>
              </w:rPr>
              <w:t>T/CAAA 004</w:t>
            </w:r>
            <w:r>
              <w:rPr>
                <w:rFonts w:ascii="Times New Roman" w:hAnsi="Times New Roman" w:hint="eastAsia"/>
                <w:kern w:val="0"/>
                <w:sz w:val="18"/>
                <w:lang w:bidi="ar"/>
              </w:rPr>
              <w:t>测定</w:t>
            </w:r>
          </w:p>
        </w:tc>
      </w:tr>
      <w:tr w:rsidR="00AD446B">
        <w:tc>
          <w:tcPr>
            <w:tcW w:w="5000" w:type="pct"/>
            <w:gridSpan w:val="5"/>
            <w:tcBorders>
              <w:top w:val="single" w:sz="8" w:space="0" w:color="auto"/>
              <w:bottom w:val="single" w:sz="8" w:space="0" w:color="auto"/>
            </w:tcBorders>
            <w:shd w:val="clear" w:color="auto" w:fill="auto"/>
            <w:vAlign w:val="center"/>
          </w:tcPr>
          <w:p w:rsidR="00AD446B" w:rsidRDefault="00172B4B">
            <w:pPr>
              <w:pStyle w:val="a5"/>
              <w:rPr>
                <w:lang w:bidi="ar"/>
              </w:rPr>
            </w:pPr>
            <w:r>
              <w:rPr>
                <w:rFonts w:ascii="Times New Roman" w:hint="eastAsia"/>
                <w:color w:val="000000" w:themeColor="text1"/>
                <w:vertAlign w:val="superscript"/>
                <w:lang w:bidi="ar"/>
              </w:rPr>
              <w:t>a</w:t>
            </w:r>
            <w:r>
              <w:rPr>
                <w:rFonts w:hint="eastAsia"/>
                <w:lang w:bidi="ar"/>
              </w:rPr>
              <w:t>丁酸指标中“极低”指</w:t>
            </w:r>
            <w:proofErr w:type="gramStart"/>
            <w:r>
              <w:rPr>
                <w:rFonts w:hint="eastAsia"/>
                <w:lang w:bidi="ar"/>
              </w:rPr>
              <w:t>丁酸占</w:t>
            </w:r>
            <w:proofErr w:type="gramEnd"/>
            <w:r>
              <w:rPr>
                <w:rFonts w:hint="eastAsia"/>
                <w:lang w:bidi="ar"/>
              </w:rPr>
              <w:t>总酸的质量分数≤</w:t>
            </w:r>
            <w:r>
              <w:rPr>
                <w:rFonts w:ascii="Times New Roman"/>
                <w:lang w:bidi="ar"/>
              </w:rPr>
              <w:t>3%</w:t>
            </w:r>
            <w:r>
              <w:rPr>
                <w:rFonts w:hint="eastAsia"/>
                <w:lang w:bidi="ar"/>
              </w:rPr>
              <w:t>。</w:t>
            </w:r>
          </w:p>
        </w:tc>
      </w:tr>
    </w:tbl>
    <w:p w:rsidR="00AD446B" w:rsidRDefault="00172B4B">
      <w:pPr>
        <w:pStyle w:val="afffff5"/>
        <w:ind w:firstLineChars="0" w:firstLine="0"/>
        <w:jc w:val="center"/>
      </w:pPr>
      <w:r>
        <w:rPr>
          <w:noProof/>
        </w:rPr>
        <w:drawing>
          <wp:inline distT="0" distB="0" distL="0" distR="0">
            <wp:extent cx="1485900" cy="317500"/>
            <wp:effectExtent l="0" t="0" r="7620" b="254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p>
    <w:sectPr w:rsidR="00AD446B">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7DE" w:rsidRDefault="007477DE">
      <w:pPr>
        <w:spacing w:line="240" w:lineRule="auto"/>
      </w:pPr>
      <w:r>
        <w:separator/>
      </w:r>
    </w:p>
  </w:endnote>
  <w:endnote w:type="continuationSeparator" w:id="0">
    <w:p w:rsidR="007477DE" w:rsidRDefault="007477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172B4B">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AD446B">
    <w:pPr>
      <w:pStyle w:val="aff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AD446B">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172B4B">
    <w:pPr>
      <w:pStyle w:val="afffff2"/>
    </w:pPr>
    <w:r>
      <w:fldChar w:fldCharType="begin"/>
    </w:r>
    <w:r>
      <w:instrText>PAGE   \* MERGEFORMAT</w:instrText>
    </w:r>
    <w:r>
      <w:fldChar w:fldCharType="separate"/>
    </w:r>
    <w:r w:rsidR="000F1817" w:rsidRPr="000F1817">
      <w:rPr>
        <w:noProof/>
        <w:lang w:val="zh-CN"/>
      </w:rPr>
      <w:t>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7DE" w:rsidRDefault="007477DE">
      <w:pPr>
        <w:spacing w:line="240" w:lineRule="auto"/>
      </w:pPr>
      <w:r>
        <w:separator/>
      </w:r>
    </w:p>
  </w:footnote>
  <w:footnote w:type="continuationSeparator" w:id="0">
    <w:p w:rsidR="007477DE" w:rsidRDefault="007477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AD446B">
    <w:pPr>
      <w:pStyle w:val="afff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172B4B">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AD446B">
    <w:pPr>
      <w:pStyle w:val="affff0"/>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172B4B">
    <w:pPr>
      <w:pStyle w:val="afff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6B" w:rsidRDefault="00172B4B">
    <w:pPr>
      <w:pStyle w:val="afffffa"/>
    </w:pPr>
    <w:r>
      <w:fldChar w:fldCharType="begin"/>
    </w:r>
    <w:r>
      <w:instrText xml:space="preserve"> STYLEREF  标准文件_文件编号  \* MERGEFORMAT </w:instrText>
    </w:r>
    <w:r>
      <w:fldChar w:fldCharType="separate"/>
    </w:r>
    <w:r w:rsidR="000F1817">
      <w:rPr>
        <w:noProof/>
      </w:rPr>
      <w:t>T/QHNX XXXX</w:t>
    </w:r>
    <w:r w:rsidR="000F1817">
      <w:rPr>
        <w:noProof/>
      </w:rPr>
      <w:t>—</w:t>
    </w:r>
    <w:r w:rsidR="000F1817">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default"/>
        <w:b w:val="0"/>
        <w:i w:val="0"/>
        <w:color w:val="auto"/>
        <w:sz w:val="18"/>
        <w:highlight w:val="lightGray"/>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attachedTemplate r:id="rId1"/>
  <w:documentProtection w:edit="forms"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C94"/>
    <w:rsid w:val="0000040A"/>
    <w:rsid w:val="00000A94"/>
    <w:rsid w:val="00000B4D"/>
    <w:rsid w:val="00001972"/>
    <w:rsid w:val="00001D9A"/>
    <w:rsid w:val="00002D44"/>
    <w:rsid w:val="00007B3A"/>
    <w:rsid w:val="000107E0"/>
    <w:rsid w:val="00011FDE"/>
    <w:rsid w:val="00012FFD"/>
    <w:rsid w:val="00014162"/>
    <w:rsid w:val="00014340"/>
    <w:rsid w:val="000161EA"/>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1A2E"/>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817"/>
    <w:rsid w:val="000F19D5"/>
    <w:rsid w:val="000F4050"/>
    <w:rsid w:val="000F4AEA"/>
    <w:rsid w:val="000F67E9"/>
    <w:rsid w:val="00104926"/>
    <w:rsid w:val="00113B1E"/>
    <w:rsid w:val="0011711C"/>
    <w:rsid w:val="00123D67"/>
    <w:rsid w:val="00124E4F"/>
    <w:rsid w:val="001260B7"/>
    <w:rsid w:val="001265CB"/>
    <w:rsid w:val="001279E5"/>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B4B"/>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5AD"/>
    <w:rsid w:val="00266EEB"/>
    <w:rsid w:val="00267EF4"/>
    <w:rsid w:val="00270CB8"/>
    <w:rsid w:val="00272B08"/>
    <w:rsid w:val="00274D59"/>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37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1CDC"/>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77C75"/>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23E9"/>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1468"/>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D75CD"/>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477DE"/>
    <w:rsid w:val="007501A8"/>
    <w:rsid w:val="00750D61"/>
    <w:rsid w:val="00750EE1"/>
    <w:rsid w:val="00752B4D"/>
    <w:rsid w:val="00752E62"/>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0276"/>
    <w:rsid w:val="007C2D89"/>
    <w:rsid w:val="007C4593"/>
    <w:rsid w:val="007C5309"/>
    <w:rsid w:val="007C6069"/>
    <w:rsid w:val="007D06C4"/>
    <w:rsid w:val="007D1352"/>
    <w:rsid w:val="007D2508"/>
    <w:rsid w:val="007D346A"/>
    <w:rsid w:val="007D6518"/>
    <w:rsid w:val="007D76BD"/>
    <w:rsid w:val="007E0BF1"/>
    <w:rsid w:val="007F02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401E"/>
    <w:rsid w:val="008603CE"/>
    <w:rsid w:val="008620FC"/>
    <w:rsid w:val="008627A5"/>
    <w:rsid w:val="00863E05"/>
    <w:rsid w:val="00865ACA"/>
    <w:rsid w:val="00865D28"/>
    <w:rsid w:val="00865F85"/>
    <w:rsid w:val="00867C10"/>
    <w:rsid w:val="00870439"/>
    <w:rsid w:val="00870DA1"/>
    <w:rsid w:val="00883F93"/>
    <w:rsid w:val="00884DB3"/>
    <w:rsid w:val="0088585E"/>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58AF"/>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3D97"/>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355"/>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6B"/>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62A"/>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B6FBC"/>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2C94"/>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29A2"/>
    <w:rsid w:val="00CD4092"/>
    <w:rsid w:val="00CD4A20"/>
    <w:rsid w:val="00CD50A1"/>
    <w:rsid w:val="00CD519E"/>
    <w:rsid w:val="00CE0C4F"/>
    <w:rsid w:val="00CE30EA"/>
    <w:rsid w:val="00CF048A"/>
    <w:rsid w:val="00CF0D81"/>
    <w:rsid w:val="00CF155A"/>
    <w:rsid w:val="00CF2947"/>
    <w:rsid w:val="00CF5AFA"/>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3773"/>
    <w:rsid w:val="00D76AC0"/>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A43A0D"/>
    <w:rsid w:val="0A0C10CD"/>
    <w:rsid w:val="13ED323A"/>
    <w:rsid w:val="143422D4"/>
    <w:rsid w:val="151471EB"/>
    <w:rsid w:val="1ADF664D"/>
    <w:rsid w:val="1B376449"/>
    <w:rsid w:val="1EEE60FF"/>
    <w:rsid w:val="24DF28E0"/>
    <w:rsid w:val="27A81252"/>
    <w:rsid w:val="29265393"/>
    <w:rsid w:val="29CF6F9D"/>
    <w:rsid w:val="31D728C0"/>
    <w:rsid w:val="39B20F40"/>
    <w:rsid w:val="3DE713D4"/>
    <w:rsid w:val="44A50006"/>
    <w:rsid w:val="4A51779A"/>
    <w:rsid w:val="4BFD3014"/>
    <w:rsid w:val="4DF029AF"/>
    <w:rsid w:val="597238E7"/>
    <w:rsid w:val="597B0EF6"/>
    <w:rsid w:val="651171B1"/>
    <w:rsid w:val="6BA6642B"/>
    <w:rsid w:val="723B6CF8"/>
    <w:rsid w:val="76966F18"/>
    <w:rsid w:val="77905069"/>
    <w:rsid w:val="7B6705FC"/>
    <w:rsid w:val="7C961C77"/>
    <w:rsid w:val="7EEB2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49A2FB0-24F0-4741-BB4F-C755F7B9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1">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51">
    <w:name w:val="toc 5"/>
    <w:basedOn w:val="afff5"/>
    <w:next w:val="afff5"/>
    <w:autoRedefine/>
    <w:uiPriority w:val="39"/>
    <w:unhideWhenUsed/>
    <w:qFormat/>
    <w:pPr>
      <w:ind w:left="839"/>
    </w:pPr>
    <w:rPr>
      <w:rFonts w:ascii="宋体"/>
    </w:rPr>
  </w:style>
  <w:style w:type="paragraph" w:styleId="31">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11">
    <w:name w:val="toc 1"/>
    <w:basedOn w:val="afff5"/>
    <w:next w:val="afff5"/>
    <w:autoRedefine/>
    <w:uiPriority w:val="39"/>
    <w:unhideWhenUsed/>
    <w:qFormat/>
    <w:rPr>
      <w:rFonts w:ascii="宋体"/>
    </w:rPr>
  </w:style>
  <w:style w:type="paragraph" w:styleId="41">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24">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1">
    <w:name w:val="标准文件_页脚偶数页"/>
    <w:qFormat/>
    <w:pPr>
      <w:ind w:left="198"/>
    </w:pPr>
    <w:rPr>
      <w:rFonts w:ascii="宋体"/>
      <w:sz w:val="18"/>
    </w:rPr>
  </w:style>
  <w:style w:type="paragraph" w:customStyle="1" w:styleId="afffff2">
    <w:name w:val="标准文件_页脚奇数页"/>
    <w:qFormat/>
    <w:pPr>
      <w:ind w:right="227"/>
      <w:jc w:val="right"/>
    </w:pPr>
    <w:rPr>
      <w:rFonts w:ascii="宋体"/>
      <w:sz w:val="18"/>
    </w:rPr>
  </w:style>
  <w:style w:type="paragraph" w:customStyle="1" w:styleId="afffff3">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f5"/>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f5"/>
    <w:qFormat/>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f5"/>
    <w:qFormat/>
    <w:pPr>
      <w:numPr>
        <w:numId w:val="18"/>
      </w:numPr>
      <w:jc w:val="center"/>
    </w:pPr>
    <w:rPr>
      <w:rFonts w:ascii="黑体" w:eastAsia="黑体"/>
      <w:sz w:val="21"/>
    </w:rPr>
  </w:style>
  <w:style w:type="paragraph" w:customStyle="1" w:styleId="afb">
    <w:name w:val="标准文件_正文英文图标题"/>
    <w:next w:val="afffff5"/>
    <w:qFormat/>
    <w:pPr>
      <w:numPr>
        <w:numId w:val="19"/>
      </w:numPr>
      <w:jc w:val="center"/>
    </w:pPr>
    <w:rPr>
      <w:rFonts w:ascii="黑体" w:eastAsia="黑体"/>
      <w:sz w:val="21"/>
    </w:rPr>
  </w:style>
  <w:style w:type="paragraph" w:customStyle="1" w:styleId="af7">
    <w:name w:val="标准文件_编号列项（三级）"/>
    <w:qFormat/>
    <w:pPr>
      <w:numPr>
        <w:ilvl w:val="2"/>
        <w:numId w:val="13"/>
      </w:numPr>
      <w:tabs>
        <w:tab w:val="left" w:pos="851"/>
      </w:tabs>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b/>
      <w:w w:val="135"/>
      <w:sz w:val="36"/>
    </w:rPr>
  </w:style>
  <w:style w:type="paragraph" w:customStyle="1" w:styleId="afffffff3">
    <w:name w:val="发布日期"/>
    <w:qFormat/>
    <w:pPr>
      <w:framePr w:w="4000" w:h="473" w:hRule="exact" w:hSpace="180" w:vSpace="180" w:wrap="around" w:hAnchor="margin" w:y="13511" w:anchorLock="1"/>
    </w:pPr>
    <w:rPr>
      <w:rFonts w:eastAsia="黑体"/>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6">
    <w:name w:val="封面标准文稿编辑信息"/>
    <w:qFormat/>
    <w:pPr>
      <w:spacing w:before="180" w:line="180" w:lineRule="exact"/>
      <w:jc w:val="center"/>
    </w:pPr>
    <w:rPr>
      <w:rFonts w:ascii="宋体"/>
      <w:sz w:val="21"/>
    </w:rPr>
  </w:style>
  <w:style w:type="paragraph" w:customStyle="1" w:styleId="afffffff7">
    <w:name w:val="封面标准文稿类别"/>
    <w:qFormat/>
    <w:pPr>
      <w:spacing w:before="440" w:line="400" w:lineRule="exact"/>
      <w:jc w:val="center"/>
    </w:pPr>
    <w:rPr>
      <w:rFonts w:ascii="宋体"/>
      <w:sz w:val="24"/>
    </w:rPr>
  </w:style>
  <w:style w:type="paragraph" w:customStyle="1" w:styleId="afffffff8">
    <w:name w:val="封面标准英文名称"/>
    <w:qFormat/>
    <w:pPr>
      <w:widowControl w:val="0"/>
      <w:spacing w:line="360" w:lineRule="exact"/>
      <w:jc w:val="center"/>
    </w:pPr>
    <w:rPr>
      <w:sz w:val="28"/>
    </w:rPr>
  </w:style>
  <w:style w:type="paragraph" w:customStyle="1" w:styleId="afffffff9">
    <w:name w:val="封面一致性程度标识"/>
    <w:qFormat/>
    <w:pPr>
      <w:spacing w:before="440" w:line="440" w:lineRule="exact"/>
      <w:jc w:val="center"/>
    </w:pPr>
    <w:rPr>
      <w:sz w:val="28"/>
    </w:rPr>
  </w:style>
  <w:style w:type="paragraph" w:customStyle="1" w:styleId="afffffffa">
    <w:name w:val="封面正文"/>
    <w:qFormat/>
    <w:pPr>
      <w:jc w:val="both"/>
    </w:p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link w:val="Char0"/>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0">
    <w:name w:val="目录 31"/>
    <w:basedOn w:val="afff5"/>
    <w:next w:val="afff5"/>
    <w:autoRedefine/>
    <w:semiHidden/>
    <w:qFormat/>
    <w:pPr>
      <w:spacing w:line="240" w:lineRule="auto"/>
    </w:pPr>
    <w:rPr>
      <w:rFonts w:ascii="宋体" w:hAnsi="宋体"/>
      <w:iCs/>
    </w:rPr>
  </w:style>
  <w:style w:type="paragraph" w:customStyle="1" w:styleId="410">
    <w:name w:val="目录 41"/>
    <w:basedOn w:val="afff5"/>
    <w:next w:val="afff5"/>
    <w:autoRedefine/>
    <w:semiHidden/>
    <w:qFormat/>
    <w:pPr>
      <w:adjustRightInd/>
      <w:spacing w:line="240" w:lineRule="auto"/>
      <w:jc w:val="left"/>
    </w:pPr>
  </w:style>
  <w:style w:type="paragraph" w:customStyle="1" w:styleId="510">
    <w:name w:val="目录 51"/>
    <w:basedOn w:val="afff5"/>
    <w:next w:val="afff5"/>
    <w:autoRedefine/>
    <w:semiHidden/>
    <w:qFormat/>
    <w:pPr>
      <w:spacing w:line="240" w:lineRule="auto"/>
    </w:pPr>
    <w:rPr>
      <w:rFonts w:ascii="宋体" w:hAnsi="宋体"/>
    </w:rPr>
  </w:style>
  <w:style w:type="paragraph" w:customStyle="1" w:styleId="610">
    <w:name w:val="目录 61"/>
    <w:basedOn w:val="afff5"/>
    <w:next w:val="afff5"/>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eastAsia="黑体"/>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a"/>
    <w:qFormat/>
    <w:pPr>
      <w:widowControl w:val="0"/>
      <w:numPr>
        <w:numId w:val="28"/>
      </w:numPr>
      <w:jc w:val="both"/>
    </w:pPr>
    <w:rPr>
      <w:rFonts w:ascii="宋体"/>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Times New Roman"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style>
  <w:style w:type="paragraph" w:customStyle="1" w:styleId="20">
    <w:name w:val="标准文件_一级项2"/>
    <w:basedOn w:val="afffff5"/>
    <w:qFormat/>
    <w:pPr>
      <w:numPr>
        <w:numId w:val="31"/>
      </w:numPr>
      <w:spacing w:line="300" w:lineRule="exact"/>
      <w:ind w:firstLineChars="0"/>
    </w:p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 w:type="paragraph" w:customStyle="1" w:styleId="afffffffffffa">
    <w:name w:val="标准书眉_奇数页"/>
    <w:next w:val="afff5"/>
    <w:qFormat/>
    <w:pPr>
      <w:tabs>
        <w:tab w:val="center" w:pos="4154"/>
        <w:tab w:val="right" w:pos="8306"/>
      </w:tabs>
      <w:spacing w:after="220"/>
      <w:jc w:val="right"/>
    </w:pPr>
    <w:rPr>
      <w:rFonts w:ascii="黑体" w:eastAsia="黑体"/>
      <w:sz w:val="21"/>
      <w:szCs w:val="21"/>
    </w:rPr>
  </w:style>
  <w:style w:type="paragraph" w:customStyle="1" w:styleId="afffffffffffb">
    <w:name w:val="标准书脚_奇数页"/>
    <w:qFormat/>
    <w:pPr>
      <w:spacing w:before="120"/>
      <w:ind w:right="198"/>
      <w:jc w:val="right"/>
    </w:pPr>
    <w:rPr>
      <w:rFonts w:ascii="宋体"/>
      <w:sz w:val="18"/>
      <w:szCs w:val="18"/>
    </w:rPr>
  </w:style>
  <w:style w:type="paragraph" w:customStyle="1" w:styleId="afffffffffffc">
    <w:name w:val="段"/>
    <w:qFormat/>
    <w:pPr>
      <w:tabs>
        <w:tab w:val="center" w:pos="4201"/>
        <w:tab w:val="right" w:leader="dot" w:pos="9298"/>
      </w:tabs>
      <w:autoSpaceDE w:val="0"/>
      <w:autoSpaceDN w:val="0"/>
      <w:ind w:firstLineChars="200" w:firstLine="420"/>
      <w:jc w:val="both"/>
    </w:pPr>
    <w:rPr>
      <w:rFonts w:ascii="宋体"/>
      <w:sz w:val="21"/>
    </w:rPr>
  </w:style>
  <w:style w:type="paragraph" w:customStyle="1" w:styleId="TB">
    <w:name w:val="标准标志TB"/>
    <w:basedOn w:val="afff5"/>
    <w:qFormat/>
    <w:pPr>
      <w:widowControl/>
      <w:shd w:val="solid" w:color="FFFFFF" w:fill="FFFFFF"/>
      <w:adjustRightInd/>
      <w:spacing w:line="0" w:lineRule="atLeast"/>
      <w:jc w:val="right"/>
    </w:pPr>
    <w:rPr>
      <w:rFonts w:ascii="Times New Roman" w:eastAsia="Arial Unicode MS" w:hAnsi="Times New Roman"/>
      <w:b/>
      <w:w w:val="130"/>
      <w:sz w:val="96"/>
      <w:szCs w:val="20"/>
    </w:rPr>
  </w:style>
  <w:style w:type="character" w:customStyle="1" w:styleId="Char0">
    <w:name w:val="附录性质 Char"/>
    <w:link w:val="affffffff0"/>
    <w:qFormat/>
    <w:rPr>
      <w:rFonts w:ascii="黑体" w:eastAsia="黑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36719;&#2021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E6DD6507E142BF9D642616A900B96D"/>
        <w:category>
          <w:name w:val="常规"/>
          <w:gallery w:val="placeholder"/>
        </w:category>
        <w:types>
          <w:type w:val="bbPlcHdr"/>
        </w:types>
        <w:behaviors>
          <w:behavior w:val="content"/>
        </w:behaviors>
        <w:guid w:val="{89FD8699-7813-47CB-AC92-B78D5567C24D}"/>
      </w:docPartPr>
      <w:docPartBody>
        <w:p w:rsidR="00594D5B" w:rsidRDefault="002954E8">
          <w:pPr>
            <w:pStyle w:val="A8E6DD6507E142BF9D642616A900B96D"/>
          </w:pPr>
          <w:r>
            <w:rPr>
              <w:rStyle w:val="a3"/>
              <w:rFonts w:hint="eastAsia"/>
            </w:rPr>
            <w:t>单击或点击此处输入文字。</w:t>
          </w:r>
        </w:p>
      </w:docPartBody>
    </w:docPart>
    <w:docPart>
      <w:docPartPr>
        <w:name w:val="DCEC3ED0ACA64AF396984D5A2DE660FC"/>
        <w:category>
          <w:name w:val="常规"/>
          <w:gallery w:val="placeholder"/>
        </w:category>
        <w:types>
          <w:type w:val="bbPlcHdr"/>
        </w:types>
        <w:behaviors>
          <w:behavior w:val="content"/>
        </w:behaviors>
        <w:guid w:val="{1668B0C8-B866-4CAF-A163-31ADD0AF7BBB}"/>
      </w:docPartPr>
      <w:docPartBody>
        <w:p w:rsidR="00594D5B" w:rsidRDefault="002954E8">
          <w:pPr>
            <w:pStyle w:val="DCEC3ED0ACA64AF396984D5A2DE660FC"/>
          </w:pPr>
          <w:r>
            <w:rPr>
              <w:rStyle w:val="a3"/>
              <w:rFonts w:hint="eastAsia"/>
            </w:rPr>
            <w:t>选择一项。</w:t>
          </w:r>
        </w:p>
      </w:docPartBody>
    </w:docPart>
    <w:docPart>
      <w:docPartPr>
        <w:name w:val="8CD836C8897F47E1B8699EAD6FBC0D18"/>
        <w:category>
          <w:name w:val="常规"/>
          <w:gallery w:val="placeholder"/>
        </w:category>
        <w:types>
          <w:type w:val="bbPlcHdr"/>
        </w:types>
        <w:behaviors>
          <w:behavior w:val="content"/>
        </w:behaviors>
        <w:guid w:val="{FB74A80B-6B20-40B6-8D35-F4DA033092C9}"/>
      </w:docPartPr>
      <w:docPartBody>
        <w:p w:rsidR="00594D5B" w:rsidRDefault="002954E8">
          <w:pPr>
            <w:pStyle w:val="8CD836C8897F47E1B8699EAD6FBC0D18"/>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55"/>
    <w:rsid w:val="001A2A55"/>
    <w:rsid w:val="00234164"/>
    <w:rsid w:val="002954E8"/>
    <w:rsid w:val="003F0BEE"/>
    <w:rsid w:val="00553700"/>
    <w:rsid w:val="00594D5B"/>
    <w:rsid w:val="006C47E9"/>
    <w:rsid w:val="00AC701D"/>
    <w:rsid w:val="00D333C8"/>
    <w:rsid w:val="00EC7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A8E6DD6507E142BF9D642616A900B96D">
    <w:name w:val="A8E6DD6507E142BF9D642616A900B96D"/>
    <w:qFormat/>
    <w:pPr>
      <w:widowControl w:val="0"/>
      <w:jc w:val="both"/>
    </w:pPr>
    <w:rPr>
      <w:kern w:val="2"/>
      <w:sz w:val="21"/>
      <w:szCs w:val="22"/>
    </w:rPr>
  </w:style>
  <w:style w:type="paragraph" w:customStyle="1" w:styleId="DCEC3ED0ACA64AF396984D5A2DE660FC">
    <w:name w:val="DCEC3ED0ACA64AF396984D5A2DE660FC"/>
    <w:qFormat/>
    <w:pPr>
      <w:widowControl w:val="0"/>
      <w:jc w:val="both"/>
    </w:pPr>
    <w:rPr>
      <w:kern w:val="2"/>
      <w:sz w:val="21"/>
      <w:szCs w:val="22"/>
    </w:rPr>
  </w:style>
  <w:style w:type="paragraph" w:customStyle="1" w:styleId="8CD836C8897F47E1B8699EAD6FBC0D18">
    <w:name w:val="8CD836C8897F47E1B8699EAD6FBC0D18"/>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88EAFD-74F5-4007-BD26-A3CABE6E0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7</TotalTime>
  <Pages>7</Pages>
  <Words>536</Words>
  <Characters>3058</Characters>
  <Application>Microsoft Office Word</Application>
  <DocSecurity>0</DocSecurity>
  <Lines>25</Lines>
  <Paragraphs>7</Paragraphs>
  <ScaleCrop>false</ScaleCrop>
  <Company>DoubleOX</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18</cp:revision>
  <cp:lastPrinted>2021-02-02T08:22:00Z</cp:lastPrinted>
  <dcterms:created xsi:type="dcterms:W3CDTF">2025-12-11T01:04:00Z</dcterms:created>
  <dcterms:modified xsi:type="dcterms:W3CDTF">2026-10-19T08:38:00Z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136C4B2FB4D64F00906B1E704B42FB58_13</vt:lpwstr>
  </property>
  <property fmtid="{D5CDD505-2E9C-101B-9397-08002B2CF9AE}" pid="16" name="KSOTemplateDocerSaveRecord">
    <vt:lpwstr>eyJoZGlkIjoiOGE3YWFiZjliM2Y0OGNjOTI5NWExMzBkNjM4MDAzYzIiLCJ1c2VySWQiOiI0NjEzOTg3MjUifQ==</vt:lpwstr>
  </property>
</Properties>
</file>